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07B7" w14:textId="4D3E021A" w:rsidR="00EC7A99" w:rsidRDefault="00815D37" w:rsidP="00EC7A99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262109EC" w14:textId="6DA421D3" w:rsidR="00597D55" w:rsidRPr="009461CD" w:rsidRDefault="00F75472" w:rsidP="00E851CE">
      <w:pPr>
        <w:jc w:val="center"/>
        <w:rPr>
          <w:b/>
          <w:bCs/>
          <w:sz w:val="36"/>
          <w:szCs w:val="36"/>
        </w:rPr>
      </w:pPr>
      <w:bookmarkStart w:id="0" w:name="_Hlk156912660"/>
      <w:r w:rsidRPr="00F75472">
        <w:rPr>
          <w:b/>
          <w:bCs/>
          <w:sz w:val="36"/>
          <w:szCs w:val="36"/>
        </w:rPr>
        <w:t>PNRR MISSIONE SALU</w:t>
      </w:r>
      <w:bookmarkStart w:id="1" w:name="_GoBack"/>
      <w:bookmarkEnd w:id="1"/>
      <w:r w:rsidRPr="00F75472">
        <w:rPr>
          <w:b/>
          <w:bCs/>
          <w:sz w:val="36"/>
          <w:szCs w:val="36"/>
        </w:rPr>
        <w:t>TE</w:t>
      </w:r>
      <w:r w:rsidR="00597D55">
        <w:rPr>
          <w:b/>
          <w:bCs/>
          <w:sz w:val="36"/>
          <w:szCs w:val="36"/>
        </w:rPr>
        <w:t xml:space="preserve">: </w:t>
      </w:r>
      <w:r w:rsidR="00E366DA" w:rsidRPr="00F75472">
        <w:rPr>
          <w:b/>
          <w:bCs/>
          <w:sz w:val="36"/>
          <w:szCs w:val="36"/>
        </w:rPr>
        <w:t xml:space="preserve">AL </w:t>
      </w:r>
      <w:r w:rsidR="00F137A4">
        <w:rPr>
          <w:b/>
          <w:bCs/>
          <w:sz w:val="36"/>
          <w:szCs w:val="36"/>
        </w:rPr>
        <w:t>1</w:t>
      </w:r>
      <w:r w:rsidR="00E366DA" w:rsidRPr="00F75472">
        <w:rPr>
          <w:b/>
          <w:bCs/>
          <w:sz w:val="36"/>
          <w:szCs w:val="36"/>
        </w:rPr>
        <w:t>° TRIMESTRE 202</w:t>
      </w:r>
      <w:r w:rsidR="00F137A4">
        <w:rPr>
          <w:b/>
          <w:bCs/>
          <w:sz w:val="36"/>
          <w:szCs w:val="36"/>
        </w:rPr>
        <w:t>5</w:t>
      </w:r>
      <w:r w:rsidR="00E366DA">
        <w:rPr>
          <w:b/>
          <w:bCs/>
          <w:sz w:val="36"/>
          <w:szCs w:val="36"/>
        </w:rPr>
        <w:t xml:space="preserve"> </w:t>
      </w:r>
      <w:r w:rsidR="00597D55">
        <w:rPr>
          <w:b/>
          <w:bCs/>
          <w:sz w:val="36"/>
          <w:szCs w:val="36"/>
        </w:rPr>
        <w:t>RISPETTATA</w:t>
      </w:r>
      <w:r w:rsidR="00597D55" w:rsidRPr="00897B0F">
        <w:rPr>
          <w:b/>
          <w:bCs/>
          <w:sz w:val="36"/>
          <w:szCs w:val="36"/>
        </w:rPr>
        <w:t xml:space="preserve"> </w:t>
      </w:r>
      <w:r w:rsidR="00E366DA" w:rsidRPr="00897B0F">
        <w:rPr>
          <w:b/>
          <w:bCs/>
          <w:sz w:val="36"/>
          <w:szCs w:val="36"/>
        </w:rPr>
        <w:t xml:space="preserve">L’UNICA SCADENZA </w:t>
      </w:r>
      <w:r w:rsidR="00F137A4">
        <w:rPr>
          <w:b/>
          <w:bCs/>
          <w:sz w:val="36"/>
          <w:szCs w:val="36"/>
        </w:rPr>
        <w:t>NAZIONALE</w:t>
      </w:r>
      <w:r w:rsidR="00597D55">
        <w:rPr>
          <w:b/>
          <w:bCs/>
          <w:sz w:val="36"/>
          <w:szCs w:val="36"/>
        </w:rPr>
        <w:t xml:space="preserve">, MA </w:t>
      </w:r>
      <w:r w:rsidR="00D8304C" w:rsidRPr="00E851CE">
        <w:rPr>
          <w:b/>
          <w:bCs/>
          <w:sz w:val="36"/>
          <w:szCs w:val="36"/>
        </w:rPr>
        <w:t>L</w:t>
      </w:r>
      <w:r w:rsidR="00CA6FAC">
        <w:rPr>
          <w:b/>
          <w:bCs/>
          <w:sz w:val="36"/>
          <w:szCs w:val="36"/>
        </w:rPr>
        <w:t>A RIFORMA DELL’</w:t>
      </w:r>
      <w:r w:rsidR="00D8304C" w:rsidRPr="00E851CE">
        <w:rPr>
          <w:b/>
          <w:bCs/>
          <w:sz w:val="36"/>
          <w:szCs w:val="36"/>
        </w:rPr>
        <w:t>ASSISTENZA TERRITORIALE</w:t>
      </w:r>
      <w:r w:rsidR="00CA6FAC">
        <w:rPr>
          <w:b/>
          <w:bCs/>
          <w:sz w:val="36"/>
          <w:szCs w:val="36"/>
        </w:rPr>
        <w:t xml:space="preserve"> </w:t>
      </w:r>
      <w:r w:rsidR="003C6A47">
        <w:rPr>
          <w:b/>
          <w:bCs/>
          <w:sz w:val="36"/>
          <w:szCs w:val="36"/>
        </w:rPr>
        <w:t>ARRANCA</w:t>
      </w:r>
      <w:r w:rsidR="00EF3039">
        <w:rPr>
          <w:b/>
          <w:bCs/>
          <w:sz w:val="36"/>
          <w:szCs w:val="36"/>
        </w:rPr>
        <w:t>.</w:t>
      </w:r>
      <w:r w:rsidR="00EF3039">
        <w:rPr>
          <w:b/>
          <w:bCs/>
          <w:sz w:val="36"/>
          <w:szCs w:val="36"/>
        </w:rPr>
        <w:br/>
      </w:r>
      <w:r w:rsidR="00E851CE" w:rsidRPr="00E851CE">
        <w:rPr>
          <w:b/>
          <w:bCs/>
          <w:sz w:val="36"/>
          <w:szCs w:val="36"/>
        </w:rPr>
        <w:t xml:space="preserve"> </w:t>
      </w:r>
      <w:r w:rsidR="00CA6FAC" w:rsidRPr="00CA6FAC">
        <w:rPr>
          <w:b/>
          <w:bCs/>
          <w:sz w:val="36"/>
          <w:szCs w:val="36"/>
        </w:rPr>
        <w:t>CASE DELLA COMUNITÀ: SOLO IL 2,7% PIENAMENTE OPERATIVE</w:t>
      </w:r>
      <w:r w:rsidR="00CA6FAC">
        <w:rPr>
          <w:b/>
          <w:bCs/>
          <w:sz w:val="36"/>
          <w:szCs w:val="36"/>
        </w:rPr>
        <w:t>.</w:t>
      </w:r>
      <w:r w:rsidR="00CA6FAC">
        <w:rPr>
          <w:b/>
          <w:bCs/>
          <w:sz w:val="36"/>
          <w:szCs w:val="36"/>
        </w:rPr>
        <w:br/>
        <w:t>OSPEDAL</w:t>
      </w:r>
      <w:r w:rsidR="005A6A75">
        <w:rPr>
          <w:b/>
          <w:bCs/>
          <w:sz w:val="36"/>
          <w:szCs w:val="36"/>
        </w:rPr>
        <w:t>I</w:t>
      </w:r>
      <w:r w:rsidR="00CA6FAC">
        <w:rPr>
          <w:b/>
          <w:bCs/>
          <w:sz w:val="36"/>
          <w:szCs w:val="36"/>
        </w:rPr>
        <w:t xml:space="preserve"> DI COMUNITÀ</w:t>
      </w:r>
      <w:r w:rsidR="005A6A75">
        <w:rPr>
          <w:b/>
          <w:bCs/>
          <w:sz w:val="36"/>
          <w:szCs w:val="36"/>
        </w:rPr>
        <w:t>: NESSUNO</w:t>
      </w:r>
      <w:r w:rsidR="00CA6FAC">
        <w:rPr>
          <w:b/>
          <w:bCs/>
          <w:sz w:val="36"/>
          <w:szCs w:val="36"/>
        </w:rPr>
        <w:t xml:space="preserve"> </w:t>
      </w:r>
      <w:r w:rsidR="003C6A47">
        <w:rPr>
          <w:b/>
          <w:bCs/>
          <w:sz w:val="36"/>
          <w:szCs w:val="36"/>
        </w:rPr>
        <w:t xml:space="preserve">CON </w:t>
      </w:r>
      <w:r w:rsidR="00CA6FAC">
        <w:rPr>
          <w:b/>
          <w:bCs/>
          <w:sz w:val="36"/>
          <w:szCs w:val="36"/>
        </w:rPr>
        <w:t>TUTTI I SERVIZI ATTIVI</w:t>
      </w:r>
      <w:r w:rsidR="005A6A75">
        <w:rPr>
          <w:b/>
          <w:bCs/>
          <w:sz w:val="36"/>
          <w:szCs w:val="36"/>
        </w:rPr>
        <w:t>.</w:t>
      </w:r>
      <w:r w:rsidR="00E851CE">
        <w:rPr>
          <w:b/>
          <w:bCs/>
          <w:sz w:val="36"/>
          <w:szCs w:val="36"/>
        </w:rPr>
        <w:br/>
      </w:r>
      <w:r w:rsidR="005A6A75">
        <w:rPr>
          <w:b/>
          <w:bCs/>
          <w:sz w:val="36"/>
          <w:szCs w:val="36"/>
        </w:rPr>
        <w:t>FASCICOLO SANITARIO ELETTRONICO: NESSUNA REGIONE AL 100%</w:t>
      </w:r>
    </w:p>
    <w:bookmarkEnd w:id="0"/>
    <w:p w14:paraId="4D38DF05" w14:textId="0DE10E97" w:rsidR="00815D37" w:rsidRDefault="00F137A4" w:rsidP="00815D3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6 maggio</w:t>
      </w:r>
      <w:r w:rsidR="00EA6FC9">
        <w:rPr>
          <w:rFonts w:ascii="Calibri" w:eastAsia="Calibri" w:hAnsi="Calibri" w:cs="Times New Roman"/>
          <w:b/>
          <w:bCs/>
          <w:sz w:val="24"/>
          <w:szCs w:val="24"/>
        </w:rPr>
        <w:t xml:space="preserve"> 2025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815D37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2B2105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7395A8C6" w14:textId="24F134A4" w:rsidR="00897B0F" w:rsidRPr="00897B0F" w:rsidRDefault="00897B0F" w:rsidP="00535518">
      <w:pPr>
        <w:jc w:val="both"/>
        <w:rPr>
          <w:rFonts w:cstheme="minorHAnsi"/>
        </w:rPr>
      </w:pPr>
      <w:r w:rsidRPr="00897B0F">
        <w:rPr>
          <w:rFonts w:cstheme="minorHAnsi"/>
        </w:rPr>
        <w:t xml:space="preserve">«Al 31 </w:t>
      </w:r>
      <w:r w:rsidR="007A1BDA">
        <w:rPr>
          <w:rFonts w:cstheme="minorHAnsi"/>
        </w:rPr>
        <w:t>marzo</w:t>
      </w:r>
      <w:r w:rsidRPr="00897B0F">
        <w:rPr>
          <w:rFonts w:cstheme="minorHAnsi"/>
        </w:rPr>
        <w:t xml:space="preserve"> 202</w:t>
      </w:r>
      <w:r w:rsidR="007A1BDA">
        <w:rPr>
          <w:rFonts w:cstheme="minorHAnsi"/>
        </w:rPr>
        <w:t>5</w:t>
      </w:r>
      <w:r w:rsidRPr="00897B0F">
        <w:rPr>
          <w:rFonts w:cstheme="minorHAnsi"/>
        </w:rPr>
        <w:t xml:space="preserve"> – dichiara Nino Cartabellotta, Presidente della Fondazione GIMBE – </w:t>
      </w:r>
      <w:r w:rsidR="00CD332E">
        <w:rPr>
          <w:rFonts w:cstheme="minorHAnsi"/>
        </w:rPr>
        <w:t xml:space="preserve">per la </w:t>
      </w:r>
      <w:r w:rsidR="00CD332E" w:rsidRPr="00897B0F">
        <w:rPr>
          <w:rFonts w:cstheme="minorHAnsi"/>
        </w:rPr>
        <w:t>Missione Salute del PNRR</w:t>
      </w:r>
      <w:r w:rsidR="00CD332E">
        <w:rPr>
          <w:rFonts w:cstheme="minorHAnsi"/>
        </w:rPr>
        <w:t xml:space="preserve"> non era prevista alcuna scadenza europea e </w:t>
      </w:r>
      <w:r w:rsidRPr="00897B0F">
        <w:rPr>
          <w:rFonts w:cstheme="minorHAnsi"/>
        </w:rPr>
        <w:t xml:space="preserve">l’unica scadenza </w:t>
      </w:r>
      <w:r w:rsidR="007A1BDA">
        <w:rPr>
          <w:rFonts w:cstheme="minorHAnsi"/>
        </w:rPr>
        <w:t>nazionale</w:t>
      </w:r>
      <w:r w:rsidR="00CD332E">
        <w:rPr>
          <w:rFonts w:cstheme="minorHAnsi"/>
        </w:rPr>
        <w:t xml:space="preserve"> </w:t>
      </w:r>
      <w:r w:rsidRPr="00897B0F">
        <w:rPr>
          <w:rFonts w:cstheme="minorHAnsi"/>
        </w:rPr>
        <w:t>è stata rispettata</w:t>
      </w:r>
      <w:r w:rsidR="00CD332E">
        <w:rPr>
          <w:rFonts w:cstheme="minorHAnsi"/>
        </w:rPr>
        <w:t xml:space="preserve">. Tuttavia, al di là del rispetto delle scadenze formali, </w:t>
      </w:r>
      <w:r w:rsidR="00A47ED5">
        <w:rPr>
          <w:rFonts w:cstheme="minorHAnsi"/>
        </w:rPr>
        <w:t xml:space="preserve">a poco più di un anno dalla rendicontazione finale, </w:t>
      </w:r>
      <w:r w:rsidR="00CD332E">
        <w:rPr>
          <w:rFonts w:cstheme="minorHAnsi"/>
        </w:rPr>
        <w:t>la riforma dell’assistenza ter</w:t>
      </w:r>
      <w:r w:rsidR="00A47ED5">
        <w:rPr>
          <w:rFonts w:cstheme="minorHAnsi"/>
        </w:rPr>
        <w:t xml:space="preserve">ritoriale e l’attuazione del </w:t>
      </w:r>
      <w:r w:rsidR="00CF7404">
        <w:rPr>
          <w:rFonts w:cstheme="minorHAnsi"/>
        </w:rPr>
        <w:t>Fascicolo Sanitario E</w:t>
      </w:r>
      <w:r w:rsidR="00A47ED5">
        <w:rPr>
          <w:rFonts w:cstheme="minorHAnsi"/>
        </w:rPr>
        <w:t xml:space="preserve">lettronico </w:t>
      </w:r>
      <w:r w:rsidR="007F03B2">
        <w:rPr>
          <w:rFonts w:cstheme="minorHAnsi"/>
        </w:rPr>
        <w:t xml:space="preserve">procedono </w:t>
      </w:r>
      <w:r w:rsidR="00CF7404">
        <w:rPr>
          <w:rFonts w:cstheme="minorHAnsi"/>
        </w:rPr>
        <w:t xml:space="preserve">decisamente </w:t>
      </w:r>
      <w:r w:rsidR="007F03B2">
        <w:rPr>
          <w:rFonts w:cstheme="minorHAnsi"/>
        </w:rPr>
        <w:t>a rilento</w:t>
      </w:r>
      <w:r w:rsidR="00A47ED5">
        <w:rPr>
          <w:rFonts w:cstheme="minorHAnsi"/>
        </w:rPr>
        <w:t xml:space="preserve">, con </w:t>
      </w:r>
      <w:r w:rsidR="00CF7404">
        <w:rPr>
          <w:rFonts w:cstheme="minorHAnsi"/>
        </w:rPr>
        <w:t xml:space="preserve">marcate </w:t>
      </w:r>
      <w:r w:rsidR="00A47ED5">
        <w:rPr>
          <w:rFonts w:cstheme="minorHAnsi"/>
        </w:rPr>
        <w:t>diseguaglianze tra</w:t>
      </w:r>
      <w:r w:rsidR="00CF7404">
        <w:rPr>
          <w:rFonts w:cstheme="minorHAnsi"/>
        </w:rPr>
        <w:t xml:space="preserve"> le</w:t>
      </w:r>
      <w:r w:rsidR="00A47ED5">
        <w:rPr>
          <w:rFonts w:cstheme="minorHAnsi"/>
        </w:rPr>
        <w:t xml:space="preserve"> Regioni</w:t>
      </w:r>
      <w:r w:rsidRPr="00897B0F">
        <w:rPr>
          <w:rFonts w:cstheme="minorHAnsi"/>
        </w:rPr>
        <w:t>».</w:t>
      </w:r>
    </w:p>
    <w:p w14:paraId="345A923F" w14:textId="1C918260" w:rsidR="00CF7404" w:rsidRDefault="00897B0F" w:rsidP="00CF7404">
      <w:pPr>
        <w:jc w:val="both"/>
        <w:rPr>
          <w:rFonts w:cstheme="minorHAnsi"/>
        </w:rPr>
      </w:pPr>
      <w:r w:rsidRPr="00897B0F">
        <w:rPr>
          <w:rFonts w:cstheme="minorHAnsi"/>
        </w:rPr>
        <w:t>L’Osservatorio GIMBE sul Servizio Sanitario Nazionale</w:t>
      </w:r>
      <w:r w:rsidR="00B96CEA">
        <w:rPr>
          <w:rFonts w:cstheme="minorHAnsi"/>
        </w:rPr>
        <w:t xml:space="preserve"> (SSN)</w:t>
      </w:r>
      <w:r w:rsidRPr="00897B0F">
        <w:rPr>
          <w:rFonts w:cstheme="minorHAnsi"/>
        </w:rPr>
        <w:t xml:space="preserve"> prosegue </w:t>
      </w:r>
      <w:r w:rsidR="00CF7404">
        <w:rPr>
          <w:rFonts w:cstheme="minorHAnsi"/>
        </w:rPr>
        <w:t>il</w:t>
      </w:r>
      <w:r w:rsidRPr="00897B0F">
        <w:rPr>
          <w:rFonts w:cstheme="minorHAnsi"/>
        </w:rPr>
        <w:t xml:space="preserve"> monitoraggio indipendente</w:t>
      </w:r>
      <w:r w:rsidR="00CF7404">
        <w:rPr>
          <w:rFonts w:cstheme="minorHAnsi"/>
        </w:rPr>
        <w:t xml:space="preserve"> </w:t>
      </w:r>
      <w:r w:rsidR="00CF7404" w:rsidRPr="00CF7404">
        <w:rPr>
          <w:rFonts w:cstheme="minorHAnsi"/>
        </w:rPr>
        <w:t>sull’attuazione della Missione Salute</w:t>
      </w:r>
      <w:r w:rsidR="00994D0A">
        <w:rPr>
          <w:rFonts w:cstheme="minorHAnsi"/>
        </w:rPr>
        <w:t xml:space="preserve"> del PNRR</w:t>
      </w:r>
      <w:r w:rsidRPr="00897B0F">
        <w:rPr>
          <w:rFonts w:cstheme="minorHAnsi"/>
        </w:rPr>
        <w:t>, analizzando</w:t>
      </w:r>
      <w:r w:rsidR="00C14274">
        <w:rPr>
          <w:rFonts w:cstheme="minorHAnsi"/>
        </w:rPr>
        <w:t xml:space="preserve"> </w:t>
      </w:r>
      <w:r w:rsidRPr="00897B0F">
        <w:rPr>
          <w:rFonts w:cstheme="minorHAnsi"/>
        </w:rPr>
        <w:t xml:space="preserve">i risultati raggiunti </w:t>
      </w:r>
      <w:r w:rsidR="00CF7404">
        <w:rPr>
          <w:rFonts w:cstheme="minorHAnsi"/>
        </w:rPr>
        <w:t>e</w:t>
      </w:r>
      <w:r w:rsidR="00CF7404" w:rsidRPr="00897B0F">
        <w:rPr>
          <w:rFonts w:cstheme="minorHAnsi"/>
        </w:rPr>
        <w:t xml:space="preserve"> </w:t>
      </w:r>
      <w:r w:rsidRPr="00897B0F">
        <w:rPr>
          <w:rFonts w:cstheme="minorHAnsi"/>
        </w:rPr>
        <w:t xml:space="preserve">le criticità </w:t>
      </w:r>
      <w:r w:rsidR="008922AD">
        <w:rPr>
          <w:rFonts w:cstheme="minorHAnsi"/>
        </w:rPr>
        <w:t>che ostacolano</w:t>
      </w:r>
      <w:r w:rsidR="009F40ED">
        <w:rPr>
          <w:rFonts w:cstheme="minorHAnsi"/>
        </w:rPr>
        <w:t xml:space="preserve"> la riforma dell’assistenza territoriale</w:t>
      </w:r>
      <w:r w:rsidR="00CF7404">
        <w:rPr>
          <w:rFonts w:cstheme="minorHAnsi"/>
        </w:rPr>
        <w:t>, con</w:t>
      </w:r>
      <w:r w:rsidR="00A47ED5">
        <w:rPr>
          <w:rFonts w:cstheme="minorHAnsi"/>
        </w:rPr>
        <w:t xml:space="preserve"> l</w:t>
      </w:r>
      <w:r w:rsidRPr="00897B0F">
        <w:rPr>
          <w:rFonts w:cstheme="minorHAnsi"/>
        </w:rPr>
        <w:t xml:space="preserve">’obiettivo </w:t>
      </w:r>
      <w:r w:rsidR="00A47ED5">
        <w:rPr>
          <w:rFonts w:cstheme="minorHAnsi"/>
        </w:rPr>
        <w:t xml:space="preserve">di </w:t>
      </w:r>
      <w:r w:rsidRPr="00897B0F">
        <w:rPr>
          <w:rFonts w:cstheme="minorHAnsi"/>
        </w:rPr>
        <w:t>fornire ai cittadini un quadro oggettivo,</w:t>
      </w:r>
      <w:r w:rsidR="009B1F97">
        <w:rPr>
          <w:rFonts w:cstheme="minorHAnsi"/>
        </w:rPr>
        <w:t xml:space="preserve"> </w:t>
      </w:r>
      <w:r w:rsidR="00C14274">
        <w:rPr>
          <w:rFonts w:cstheme="minorHAnsi"/>
        </w:rPr>
        <w:t>al riparo da</w:t>
      </w:r>
      <w:r w:rsidR="00C14274" w:rsidRPr="00897B0F">
        <w:rPr>
          <w:rFonts w:cstheme="minorHAnsi"/>
        </w:rPr>
        <w:t xml:space="preserve"> </w:t>
      </w:r>
      <w:r w:rsidRPr="00897B0F">
        <w:rPr>
          <w:rFonts w:cstheme="minorHAnsi"/>
        </w:rPr>
        <w:t>strumentalizzazioni politiche.</w:t>
      </w:r>
    </w:p>
    <w:p w14:paraId="16409A95" w14:textId="60F643AC" w:rsidR="009A76B2" w:rsidRPr="0085624B" w:rsidRDefault="00566963" w:rsidP="00990397">
      <w:pPr>
        <w:spacing w:after="80"/>
        <w:jc w:val="both"/>
        <w:rPr>
          <w:rFonts w:cstheme="minorHAnsi"/>
          <w:b/>
          <w:bCs/>
        </w:rPr>
      </w:pPr>
      <w:r w:rsidRPr="00566963">
        <w:rPr>
          <w:rFonts w:cstheme="minorHAnsi"/>
          <w:b/>
          <w:bCs/>
        </w:rPr>
        <w:t>STATO DI AVANZAMENTO</w:t>
      </w:r>
      <w:r w:rsidR="0020319A">
        <w:rPr>
          <w:rFonts w:cstheme="minorHAnsi"/>
          <w:b/>
          <w:bCs/>
        </w:rPr>
        <w:t xml:space="preserve"> AL </w:t>
      </w:r>
      <w:r w:rsidR="00873530">
        <w:rPr>
          <w:rFonts w:cstheme="minorHAnsi"/>
          <w:b/>
          <w:bCs/>
        </w:rPr>
        <w:t>3</w:t>
      </w:r>
      <w:r w:rsidR="007D3B7E">
        <w:rPr>
          <w:rFonts w:cstheme="minorHAnsi"/>
          <w:b/>
          <w:bCs/>
        </w:rPr>
        <w:t>1</w:t>
      </w:r>
      <w:r w:rsidR="00873530">
        <w:rPr>
          <w:rFonts w:cstheme="minorHAnsi"/>
          <w:b/>
          <w:bCs/>
        </w:rPr>
        <w:t xml:space="preserve"> </w:t>
      </w:r>
      <w:r w:rsidR="007A1BDA">
        <w:rPr>
          <w:rFonts w:cstheme="minorHAnsi"/>
          <w:b/>
          <w:bCs/>
        </w:rPr>
        <w:t>MARZO 2025</w:t>
      </w:r>
      <w:r w:rsidR="004261F6">
        <w:rPr>
          <w:rFonts w:cstheme="minorHAnsi"/>
        </w:rPr>
        <w:t xml:space="preserve">. </w:t>
      </w:r>
      <w:r w:rsidR="00ED6E07" w:rsidRPr="00ED6E07">
        <w:rPr>
          <w:rFonts w:cstheme="minorHAnsi"/>
        </w:rPr>
        <w:t xml:space="preserve">Secondo </w:t>
      </w:r>
      <w:r w:rsidR="005B24AF">
        <w:rPr>
          <w:rFonts w:cstheme="minorHAnsi"/>
        </w:rPr>
        <w:t>i dati</w:t>
      </w:r>
      <w:r w:rsidR="00ED6E07">
        <w:rPr>
          <w:rFonts w:cstheme="minorHAnsi"/>
        </w:rPr>
        <w:t xml:space="preserve"> </w:t>
      </w:r>
      <w:r w:rsidR="00C14274">
        <w:rPr>
          <w:rFonts w:cstheme="minorHAnsi"/>
        </w:rPr>
        <w:t>pubblicati</w:t>
      </w:r>
      <w:r w:rsidR="005B24AF">
        <w:rPr>
          <w:rFonts w:cstheme="minorHAnsi"/>
        </w:rPr>
        <w:t xml:space="preserve"> sul </w:t>
      </w:r>
      <w:hyperlink r:id="rId8" w:history="1">
        <w:r w:rsidR="00ED6E07" w:rsidRPr="00961FD4">
          <w:rPr>
            <w:rStyle w:val="Collegamentoipertestuale"/>
            <w:rFonts w:cstheme="minorHAnsi"/>
          </w:rPr>
          <w:t>portale del Ministero della Salute</w:t>
        </w:r>
      </w:hyperlink>
      <w:r w:rsidR="00ED6E07" w:rsidRPr="00ED6E07">
        <w:rPr>
          <w:rFonts w:cstheme="minorHAnsi"/>
        </w:rPr>
        <w:t xml:space="preserve"> che monitora </w:t>
      </w:r>
      <w:r w:rsidR="004B367B">
        <w:rPr>
          <w:rFonts w:cstheme="minorHAnsi"/>
        </w:rPr>
        <w:t>l’</w:t>
      </w:r>
      <w:r w:rsidR="00ED6E07" w:rsidRPr="00ED6E07">
        <w:rPr>
          <w:rFonts w:cstheme="minorHAnsi"/>
        </w:rPr>
        <w:t>attuazione della Missione Salute del PNRR:</w:t>
      </w:r>
    </w:p>
    <w:p w14:paraId="4BB8E8F3" w14:textId="3CCF3F4F" w:rsidR="00EF202E" w:rsidRDefault="00EF202E" w:rsidP="00E86CB1">
      <w:pPr>
        <w:jc w:val="both"/>
        <w:rPr>
          <w:rFonts w:cstheme="minorHAnsi"/>
          <w:b/>
          <w:bCs/>
        </w:rPr>
      </w:pPr>
      <w:r w:rsidRPr="000A55FA">
        <w:rPr>
          <w:rFonts w:cstheme="minorHAnsi"/>
          <w:b/>
          <w:bCs/>
        </w:rPr>
        <w:t xml:space="preserve">Milestone e target </w:t>
      </w:r>
      <w:r>
        <w:rPr>
          <w:rFonts w:cstheme="minorHAnsi"/>
          <w:b/>
          <w:bCs/>
        </w:rPr>
        <w:t>EU</w:t>
      </w:r>
      <w:r w:rsidRPr="000A55FA">
        <w:rPr>
          <w:rFonts w:cstheme="minorHAnsi"/>
        </w:rPr>
        <w:t>:</w:t>
      </w:r>
      <w:r>
        <w:rPr>
          <w:rFonts w:cstheme="minorHAnsi"/>
        </w:rPr>
        <w:t xml:space="preserve"> al 31 marzo 2025 non era prevista alcuna scadenza</w:t>
      </w:r>
      <w:r w:rsidR="004B367B">
        <w:rPr>
          <w:rFonts w:cstheme="minorHAnsi"/>
        </w:rPr>
        <w:t>.</w:t>
      </w:r>
    </w:p>
    <w:p w14:paraId="1F574469" w14:textId="0BB19500" w:rsidR="004B367B" w:rsidRPr="00EF202E" w:rsidRDefault="00ED6E07" w:rsidP="008922AD">
      <w:pPr>
        <w:jc w:val="both"/>
        <w:rPr>
          <w:rFonts w:cstheme="minorHAnsi"/>
        </w:rPr>
      </w:pPr>
      <w:r w:rsidRPr="000A55FA">
        <w:rPr>
          <w:rFonts w:cstheme="minorHAnsi"/>
          <w:b/>
          <w:bCs/>
        </w:rPr>
        <w:t xml:space="preserve">Milestone e target </w:t>
      </w:r>
      <w:r w:rsidR="0020319A" w:rsidRPr="000A55FA">
        <w:rPr>
          <w:rFonts w:cstheme="minorHAnsi"/>
          <w:b/>
          <w:bCs/>
        </w:rPr>
        <w:t>nazionali</w:t>
      </w:r>
      <w:r w:rsidRPr="000A55FA">
        <w:rPr>
          <w:rFonts w:cstheme="minorHAnsi"/>
        </w:rPr>
        <w:t xml:space="preserve">: </w:t>
      </w:r>
      <w:r w:rsidR="00A22325" w:rsidRPr="000A55FA">
        <w:rPr>
          <w:rFonts w:cstheme="minorHAnsi"/>
        </w:rPr>
        <w:t>«</w:t>
      </w:r>
      <w:r w:rsidR="002B2105" w:rsidRPr="000A55FA">
        <w:rPr>
          <w:rFonts w:cstheme="minorHAnsi"/>
        </w:rPr>
        <w:t xml:space="preserve">Anche se non </w:t>
      </w:r>
      <w:r w:rsidR="008922AD">
        <w:rPr>
          <w:rFonts w:cstheme="minorHAnsi"/>
        </w:rPr>
        <w:t>incidono direttamente sul</w:t>
      </w:r>
      <w:r w:rsidR="002B2105" w:rsidRPr="000A55FA">
        <w:rPr>
          <w:rFonts w:cstheme="minorHAnsi"/>
        </w:rPr>
        <w:t>l’erogazione dei fondi del PNRR</w:t>
      </w:r>
      <w:r w:rsidR="008922AD">
        <w:rPr>
          <w:rFonts w:cstheme="minorHAnsi"/>
        </w:rPr>
        <w:t xml:space="preserve"> </w:t>
      </w:r>
      <w:r w:rsidR="008922AD" w:rsidRPr="006600BA">
        <w:t>–</w:t>
      </w:r>
      <w:r w:rsidR="008922AD" w:rsidRPr="000A55FA">
        <w:rPr>
          <w:rFonts w:cstheme="minorHAnsi"/>
        </w:rPr>
        <w:t xml:space="preserve"> spiega Cartabellotta </w:t>
      </w:r>
      <w:r w:rsidR="008922AD" w:rsidRPr="006600BA">
        <w:t>–</w:t>
      </w:r>
      <w:r w:rsidR="00EF202E">
        <w:rPr>
          <w:rFonts w:cstheme="minorHAnsi"/>
        </w:rPr>
        <w:t xml:space="preserve"> </w:t>
      </w:r>
      <w:r w:rsidR="002B2105" w:rsidRPr="000A55FA">
        <w:rPr>
          <w:rFonts w:cstheme="minorHAnsi"/>
        </w:rPr>
        <w:t>questi</w:t>
      </w:r>
      <w:r w:rsidR="00A22325" w:rsidRPr="000A55FA">
        <w:rPr>
          <w:rFonts w:cstheme="minorHAnsi"/>
        </w:rPr>
        <w:t xml:space="preserve"> step intermedi</w:t>
      </w:r>
      <w:r w:rsidR="002B2105" w:rsidRPr="000A55FA">
        <w:rPr>
          <w:rFonts w:cstheme="minorHAnsi"/>
        </w:rPr>
        <w:t xml:space="preserve"> </w:t>
      </w:r>
      <w:r w:rsidR="008922AD">
        <w:rPr>
          <w:rFonts w:cstheme="minorHAnsi"/>
        </w:rPr>
        <w:t>vanno monitorati con attenzione</w:t>
      </w:r>
      <w:r w:rsidR="004B367B">
        <w:rPr>
          <w:rFonts w:cstheme="minorHAnsi"/>
        </w:rPr>
        <w:t>,</w:t>
      </w:r>
      <w:r w:rsidR="00A22325" w:rsidRPr="000A55FA">
        <w:rPr>
          <w:rFonts w:cstheme="minorHAnsi"/>
        </w:rPr>
        <w:t xml:space="preserve"> perché </w:t>
      </w:r>
      <w:r w:rsidR="009E317A" w:rsidRPr="009E317A">
        <w:rPr>
          <w:rFonts w:cstheme="minorHAnsi"/>
        </w:rPr>
        <w:t>ritardi accumulati oggi potrebbero compromettere il rispetto delle scadenze europee di domani</w:t>
      </w:r>
      <w:r w:rsidR="00A22325" w:rsidRPr="000A55FA">
        <w:rPr>
          <w:rFonts w:cstheme="minorHAnsi"/>
        </w:rPr>
        <w:t>».</w:t>
      </w:r>
      <w:r w:rsidR="0023767D" w:rsidRPr="000A55FA">
        <w:rPr>
          <w:rFonts w:cstheme="minorHAnsi"/>
        </w:rPr>
        <w:t xml:space="preserve"> </w:t>
      </w:r>
      <w:r w:rsidR="00EF202E">
        <w:rPr>
          <w:rFonts w:cstheme="minorHAnsi"/>
        </w:rPr>
        <w:t>P</w:t>
      </w:r>
      <w:r w:rsidR="00EF202E" w:rsidRPr="000A55FA">
        <w:rPr>
          <w:rFonts w:cstheme="minorHAnsi"/>
        </w:rPr>
        <w:t>er il periodo 2021-202</w:t>
      </w:r>
      <w:r w:rsidR="00A47ED5">
        <w:rPr>
          <w:rFonts w:cstheme="minorHAnsi"/>
        </w:rPr>
        <w:t>5</w:t>
      </w:r>
      <w:r w:rsidR="00EF202E">
        <w:rPr>
          <w:rFonts w:cstheme="minorHAnsi"/>
        </w:rPr>
        <w:t xml:space="preserve"> </w:t>
      </w:r>
      <w:r w:rsidR="004B367B">
        <w:rPr>
          <w:rFonts w:cstheme="minorHAnsi"/>
        </w:rPr>
        <w:t>risultano</w:t>
      </w:r>
      <w:r w:rsidR="004B367B" w:rsidRPr="000A55FA">
        <w:rPr>
          <w:rFonts w:cstheme="minorHAnsi"/>
        </w:rPr>
        <w:t xml:space="preserve"> </w:t>
      </w:r>
      <w:r w:rsidR="002F673A" w:rsidRPr="000A55FA">
        <w:rPr>
          <w:rFonts w:cstheme="minorHAnsi"/>
        </w:rPr>
        <w:t>r</w:t>
      </w:r>
      <w:r w:rsidR="00707F1D" w:rsidRPr="000A55FA">
        <w:rPr>
          <w:rFonts w:cstheme="minorHAnsi"/>
        </w:rPr>
        <w:t>aggiunti tutti i target previsti</w:t>
      </w:r>
      <w:r w:rsidR="00A47ED5">
        <w:rPr>
          <w:rFonts w:cstheme="minorHAnsi"/>
        </w:rPr>
        <w:t>: i</w:t>
      </w:r>
      <w:r w:rsidR="00943ACC" w:rsidRPr="000A55FA">
        <w:rPr>
          <w:rFonts w:cstheme="minorHAnsi"/>
        </w:rPr>
        <w:t xml:space="preserve">n </w:t>
      </w:r>
      <w:r w:rsidR="00AF3254">
        <w:rPr>
          <w:rFonts w:cstheme="minorHAnsi"/>
        </w:rPr>
        <w:t xml:space="preserve">particolare, </w:t>
      </w:r>
      <w:r w:rsidR="004B367B">
        <w:rPr>
          <w:rFonts w:cstheme="minorHAnsi"/>
        </w:rPr>
        <w:t xml:space="preserve">al </w:t>
      </w:r>
      <w:r w:rsidR="00A47ED5">
        <w:rPr>
          <w:rFonts w:cstheme="minorHAnsi"/>
        </w:rPr>
        <w:t xml:space="preserve">31 marzo </w:t>
      </w:r>
      <w:r w:rsidR="007A1BDA" w:rsidRPr="000A55FA">
        <w:rPr>
          <w:rFonts w:cstheme="minorHAnsi"/>
        </w:rPr>
        <w:t>è stato raggiunto</w:t>
      </w:r>
      <w:r w:rsidR="00943ACC" w:rsidRPr="000A55FA">
        <w:rPr>
          <w:rFonts w:cstheme="minorHAnsi"/>
        </w:rPr>
        <w:t xml:space="preserve"> i</w:t>
      </w:r>
      <w:r w:rsidR="007A1BDA" w:rsidRPr="000A55FA">
        <w:rPr>
          <w:rFonts w:cstheme="minorHAnsi"/>
        </w:rPr>
        <w:t xml:space="preserve">l </w:t>
      </w:r>
      <w:r w:rsidR="00AF3254">
        <w:rPr>
          <w:rFonts w:cstheme="minorHAnsi"/>
        </w:rPr>
        <w:t>target</w:t>
      </w:r>
      <w:r w:rsidR="000A55FA">
        <w:rPr>
          <w:rFonts w:cstheme="minorHAnsi"/>
        </w:rPr>
        <w:t xml:space="preserve"> </w:t>
      </w:r>
      <w:r w:rsidR="007A1BDA" w:rsidRPr="000A55FA">
        <w:rPr>
          <w:rFonts w:cstheme="minorHAnsi"/>
        </w:rPr>
        <w:t>“Nuovi pazienti che ricevono assistenza domiciliare (terza parte)”</w:t>
      </w:r>
      <w:r w:rsidR="00A47ED5">
        <w:rPr>
          <w:rFonts w:cstheme="minorHAnsi"/>
        </w:rPr>
        <w:t xml:space="preserve">, </w:t>
      </w:r>
      <w:r w:rsidR="004B367B">
        <w:rPr>
          <w:rFonts w:cstheme="minorHAnsi"/>
        </w:rPr>
        <w:t>che prevede</w:t>
      </w:r>
      <w:r w:rsidR="004B367B" w:rsidRPr="000A55FA">
        <w:rPr>
          <w:rFonts w:cstheme="minorHAnsi"/>
        </w:rPr>
        <w:t xml:space="preserve"> </w:t>
      </w:r>
      <w:r w:rsidR="007A1BDA" w:rsidRPr="000A55FA">
        <w:rPr>
          <w:rFonts w:cstheme="minorHAnsi"/>
        </w:rPr>
        <w:t>un</w:t>
      </w:r>
      <w:r w:rsidR="00EF202E">
        <w:rPr>
          <w:rFonts w:cstheme="minorHAnsi"/>
        </w:rPr>
        <w:t xml:space="preserve"> ulteriore </w:t>
      </w:r>
      <w:r w:rsidR="004B367B">
        <w:t>incremento dei</w:t>
      </w:r>
      <w:r w:rsidR="00EF202E">
        <w:t xml:space="preserve"> pazienti </w:t>
      </w:r>
      <w:r w:rsidR="007A1BDA">
        <w:t>over 65 da trattare in assistenza domiciliare</w:t>
      </w:r>
      <w:r w:rsidR="004B367B">
        <w:t>,</w:t>
      </w:r>
      <w:r w:rsidR="007A1BDA">
        <w:t xml:space="preserve"> </w:t>
      </w:r>
      <w:r w:rsidR="004B367B">
        <w:t>al fine di raggiungere la soglia della presa in carico del</w:t>
      </w:r>
      <w:r w:rsidR="007A1BDA">
        <w:t xml:space="preserve"> 10% della popolazione </w:t>
      </w:r>
      <w:r w:rsidR="001E206E">
        <w:t>i</w:t>
      </w:r>
      <w:r w:rsidR="000C5D19">
        <w:t>n quella fascia di età</w:t>
      </w:r>
      <w:r w:rsidR="007A1BDA">
        <w:t>.</w:t>
      </w:r>
      <w:r w:rsidR="009C40A9">
        <w:t xml:space="preserve"> </w:t>
      </w:r>
      <w:r w:rsidR="00EF202E" w:rsidRPr="000A55FA">
        <w:rPr>
          <w:rFonts w:cstheme="minorHAnsi"/>
        </w:rPr>
        <w:t>«</w:t>
      </w:r>
      <w:r w:rsidR="00B040C8">
        <w:rPr>
          <w:rFonts w:cstheme="minorHAnsi"/>
        </w:rPr>
        <w:t>Tuttavia</w:t>
      </w:r>
      <w:r w:rsidR="00EF202E">
        <w:rPr>
          <w:rFonts w:cstheme="minorHAnsi"/>
        </w:rPr>
        <w:t xml:space="preserve"> </w:t>
      </w:r>
      <w:r w:rsidR="00EF202E" w:rsidRPr="006600BA">
        <w:t>–</w:t>
      </w:r>
      <w:r w:rsidR="00EF202E" w:rsidRPr="000A55FA">
        <w:rPr>
          <w:rFonts w:cstheme="minorHAnsi"/>
        </w:rPr>
        <w:t xml:space="preserve"> </w:t>
      </w:r>
      <w:r w:rsidR="004B367B">
        <w:rPr>
          <w:rFonts w:cstheme="minorHAnsi"/>
        </w:rPr>
        <w:t xml:space="preserve">osserva </w:t>
      </w:r>
      <w:r w:rsidR="00EF202E">
        <w:rPr>
          <w:rFonts w:cstheme="minorHAnsi"/>
        </w:rPr>
        <w:t xml:space="preserve">il Presidente </w:t>
      </w:r>
      <w:r w:rsidR="00EF202E" w:rsidRPr="006600BA">
        <w:t>–</w:t>
      </w:r>
      <w:r w:rsidR="00A157D7">
        <w:rPr>
          <w:rFonts w:cstheme="minorHAnsi"/>
        </w:rPr>
        <w:t xml:space="preserve"> </w:t>
      </w:r>
      <w:r w:rsidR="004B367B">
        <w:rPr>
          <w:rFonts w:cstheme="minorHAnsi"/>
        </w:rPr>
        <w:t xml:space="preserve">persistono </w:t>
      </w:r>
      <w:r w:rsidR="00EF202E">
        <w:rPr>
          <w:rFonts w:cstheme="minorHAnsi"/>
        </w:rPr>
        <w:t>grandi disparità regional</w:t>
      </w:r>
      <w:r w:rsidR="004B367B">
        <w:rPr>
          <w:rFonts w:cstheme="minorHAnsi"/>
        </w:rPr>
        <w:t xml:space="preserve">i, sia </w:t>
      </w:r>
      <w:r w:rsidR="00B040C8" w:rsidRPr="00641090">
        <w:rPr>
          <w:rFonts w:cstheme="minorHAnsi"/>
        </w:rPr>
        <w:t>ne</w:t>
      </w:r>
      <w:r w:rsidR="00EF202E">
        <w:rPr>
          <w:rFonts w:cstheme="minorHAnsi"/>
        </w:rPr>
        <w:t xml:space="preserve">l numero </w:t>
      </w:r>
      <w:r w:rsidR="004B367B">
        <w:rPr>
          <w:rFonts w:cstheme="minorHAnsi"/>
        </w:rPr>
        <w:t>di assistiti a domicilio, sia</w:t>
      </w:r>
      <w:r w:rsidR="00EF202E">
        <w:rPr>
          <w:rFonts w:cstheme="minorHAnsi"/>
        </w:rPr>
        <w:t xml:space="preserve"> nella </w:t>
      </w:r>
      <w:r w:rsidR="00B040C8" w:rsidRPr="00641090">
        <w:rPr>
          <w:rFonts w:cstheme="minorHAnsi"/>
        </w:rPr>
        <w:t>tipologia di servizi offerti</w:t>
      </w:r>
      <w:r w:rsidR="00EF202E" w:rsidRPr="000A55FA">
        <w:rPr>
          <w:rFonts w:cstheme="minorHAnsi"/>
        </w:rPr>
        <w:t>».</w:t>
      </w:r>
      <w:r w:rsidR="00EF202E">
        <w:rPr>
          <w:rFonts w:cstheme="minorHAnsi"/>
        </w:rPr>
        <w:t xml:space="preserve"> Infatti, come documentato dal Report </w:t>
      </w:r>
      <w:hyperlink r:id="rId9" w:history="1">
        <w:r w:rsidR="00EF202E" w:rsidRPr="00641090">
          <w:rPr>
            <w:rStyle w:val="Collegamentoipertestuale"/>
            <w:rFonts w:cstheme="minorHAnsi"/>
          </w:rPr>
          <w:t>Agenas sul monitoraggio del DM 77</w:t>
        </w:r>
      </w:hyperlink>
      <w:r w:rsidR="00EF202E">
        <w:rPr>
          <w:rFonts w:cstheme="minorHAnsi"/>
        </w:rPr>
        <w:t xml:space="preserve"> – aggiornato a dicembre 2024 – </w:t>
      </w:r>
      <w:r w:rsidR="00994D0A">
        <w:rPr>
          <w:rFonts w:cstheme="minorHAnsi"/>
        </w:rPr>
        <w:t xml:space="preserve">solo Molise, Provincia Autonoma di Trento, Umbria e Valle D’Aosta </w:t>
      </w:r>
      <w:r w:rsidR="004B367B">
        <w:rPr>
          <w:rFonts w:cstheme="minorHAnsi"/>
        </w:rPr>
        <w:t>garantiscono</w:t>
      </w:r>
      <w:r w:rsidR="00994D0A" w:rsidRPr="00994D0A">
        <w:rPr>
          <w:rFonts w:cstheme="minorHAnsi"/>
        </w:rPr>
        <w:t xml:space="preserve"> </w:t>
      </w:r>
      <w:r w:rsidR="00994D0A">
        <w:rPr>
          <w:rFonts w:cstheme="minorHAnsi"/>
        </w:rPr>
        <w:t>in tutti i distretti sanitari</w:t>
      </w:r>
      <w:r w:rsidR="004B367B">
        <w:rPr>
          <w:rFonts w:cstheme="minorHAnsi"/>
        </w:rPr>
        <w:t xml:space="preserve"> </w:t>
      </w:r>
      <w:r w:rsidR="00CA04B4">
        <w:rPr>
          <w:rFonts w:cstheme="minorHAnsi"/>
        </w:rPr>
        <w:t>gli 8 servizi previsti</w:t>
      </w:r>
      <w:r w:rsidR="00994D0A">
        <w:rPr>
          <w:rFonts w:cstheme="minorHAnsi"/>
        </w:rPr>
        <w:t xml:space="preserve"> (</w:t>
      </w:r>
      <w:r w:rsidR="00994D0A" w:rsidRPr="00255DB8">
        <w:rPr>
          <w:rFonts w:cstheme="minorHAnsi"/>
          <w:highlight w:val="yellow"/>
        </w:rPr>
        <w:t>Figura 1</w:t>
      </w:r>
      <w:r w:rsidR="00994D0A">
        <w:rPr>
          <w:rFonts w:cstheme="minorHAnsi"/>
        </w:rPr>
        <w:t>)</w:t>
      </w:r>
      <w:r w:rsidR="00CA04B4">
        <w:rPr>
          <w:rFonts w:cstheme="minorHAnsi"/>
        </w:rPr>
        <w:t xml:space="preserve">: </w:t>
      </w:r>
      <w:r w:rsidR="00994D0A">
        <w:rPr>
          <w:rFonts w:cstheme="minorHAnsi"/>
        </w:rPr>
        <w:t xml:space="preserve">nelle altre Regioni </w:t>
      </w:r>
      <w:r w:rsidR="000C5D19">
        <w:rPr>
          <w:rFonts w:cstheme="minorHAnsi"/>
        </w:rPr>
        <w:t xml:space="preserve">le principali carenze </w:t>
      </w:r>
      <w:r w:rsidR="004B367B">
        <w:rPr>
          <w:rFonts w:cstheme="minorHAnsi"/>
        </w:rPr>
        <w:t>riguardano l</w:t>
      </w:r>
      <w:r w:rsidR="00CA04B4">
        <w:rPr>
          <w:rFonts w:cstheme="minorHAnsi"/>
        </w:rPr>
        <w:t xml:space="preserve">’assistenza del medico e del pediatra di famiglia, </w:t>
      </w:r>
      <w:r w:rsidR="004B367B">
        <w:rPr>
          <w:rFonts w:cstheme="minorHAnsi"/>
        </w:rPr>
        <w:t>l’assistenza</w:t>
      </w:r>
      <w:r w:rsidR="00CA04B4">
        <w:rPr>
          <w:rFonts w:cstheme="minorHAnsi"/>
        </w:rPr>
        <w:t xml:space="preserve"> specialistica, </w:t>
      </w:r>
      <w:r w:rsidR="004B367B">
        <w:rPr>
          <w:rFonts w:cstheme="minorHAnsi"/>
        </w:rPr>
        <w:t xml:space="preserve">i </w:t>
      </w:r>
      <w:r w:rsidR="00CA04B4">
        <w:rPr>
          <w:rFonts w:cstheme="minorHAnsi"/>
        </w:rPr>
        <w:t xml:space="preserve">servizi socio-assistenziali </w:t>
      </w:r>
      <w:r w:rsidR="004B367B">
        <w:rPr>
          <w:rFonts w:cstheme="minorHAnsi"/>
        </w:rPr>
        <w:t>e la</w:t>
      </w:r>
      <w:r w:rsidR="00CA04B4">
        <w:rPr>
          <w:rFonts w:cstheme="minorHAnsi"/>
        </w:rPr>
        <w:t xml:space="preserve"> </w:t>
      </w:r>
      <w:r w:rsidR="00B040C8" w:rsidRPr="00641090">
        <w:rPr>
          <w:rFonts w:cstheme="minorHAnsi"/>
        </w:rPr>
        <w:t xml:space="preserve">fornitura di farmaci </w:t>
      </w:r>
      <w:r w:rsidR="00CA04B4">
        <w:rPr>
          <w:rFonts w:cstheme="minorHAnsi"/>
        </w:rPr>
        <w:t xml:space="preserve">e </w:t>
      </w:r>
      <w:r w:rsidR="00B040C8" w:rsidRPr="00641090">
        <w:rPr>
          <w:rFonts w:cstheme="minorHAnsi"/>
        </w:rPr>
        <w:t>dispositivi.</w:t>
      </w:r>
    </w:p>
    <w:p w14:paraId="656B8E2C" w14:textId="09FC6BCB" w:rsidR="004B367B" w:rsidRPr="00641090" w:rsidRDefault="00324D49" w:rsidP="004B367B">
      <w:pPr>
        <w:jc w:val="both"/>
        <w:rPr>
          <w:rFonts w:cstheme="minorHAnsi"/>
        </w:rPr>
      </w:pPr>
      <w:r>
        <w:rPr>
          <w:rFonts w:cstheme="minorHAnsi"/>
          <w:b/>
          <w:bCs/>
        </w:rPr>
        <w:t>RIFORMA DELL’</w:t>
      </w:r>
      <w:r w:rsidR="00641090">
        <w:rPr>
          <w:rFonts w:cstheme="minorHAnsi"/>
          <w:b/>
          <w:bCs/>
        </w:rPr>
        <w:t>ASSISTENZA TERRITORIALE</w:t>
      </w:r>
      <w:r w:rsidR="00327726">
        <w:rPr>
          <w:rFonts w:cstheme="minorHAnsi"/>
        </w:rPr>
        <w:t xml:space="preserve">. </w:t>
      </w:r>
      <w:r w:rsidR="00641090" w:rsidRPr="00641090">
        <w:rPr>
          <w:rFonts w:cstheme="minorHAnsi"/>
        </w:rPr>
        <w:t xml:space="preserve">A tre anni </w:t>
      </w:r>
      <w:r w:rsidR="009B4114">
        <w:rPr>
          <w:rFonts w:cstheme="minorHAnsi"/>
        </w:rPr>
        <w:t>dall’adozione del</w:t>
      </w:r>
      <w:r w:rsidR="007F03B2">
        <w:rPr>
          <w:rFonts w:cstheme="minorHAnsi"/>
        </w:rPr>
        <w:t xml:space="preserve"> DM 77</w:t>
      </w:r>
      <w:r w:rsidR="009B4114">
        <w:rPr>
          <w:rFonts w:cstheme="minorHAnsi"/>
        </w:rPr>
        <w:t xml:space="preserve">, la riforma dell’assistenza territoriale </w:t>
      </w:r>
      <w:r w:rsidR="007F03B2">
        <w:rPr>
          <w:rFonts w:cstheme="minorHAnsi"/>
        </w:rPr>
        <w:t>procede a rilento</w:t>
      </w:r>
      <w:r w:rsidR="009B4114">
        <w:rPr>
          <w:rFonts w:cstheme="minorHAnsi"/>
        </w:rPr>
        <w:t>,</w:t>
      </w:r>
      <w:r w:rsidR="007F03B2">
        <w:rPr>
          <w:rFonts w:cstheme="minorHAnsi"/>
        </w:rPr>
        <w:t xml:space="preserve"> con </w:t>
      </w:r>
      <w:r w:rsidR="009B4114">
        <w:rPr>
          <w:rFonts w:cstheme="minorHAnsi"/>
        </w:rPr>
        <w:t xml:space="preserve">forti </w:t>
      </w:r>
      <w:r w:rsidR="007F03B2">
        <w:rPr>
          <w:rFonts w:cstheme="minorHAnsi"/>
        </w:rPr>
        <w:t xml:space="preserve">diseguaglianze </w:t>
      </w:r>
      <w:r w:rsidR="009B4114">
        <w:rPr>
          <w:rFonts w:cstheme="minorHAnsi"/>
        </w:rPr>
        <w:t>tra le Regioni</w:t>
      </w:r>
      <w:r w:rsidR="00641090" w:rsidRPr="00641090">
        <w:rPr>
          <w:rFonts w:cstheme="minorHAnsi"/>
        </w:rPr>
        <w:t xml:space="preserve">, </w:t>
      </w:r>
      <w:r w:rsidR="009B4114">
        <w:rPr>
          <w:rFonts w:cstheme="minorHAnsi"/>
        </w:rPr>
        <w:t>in particolare nell’</w:t>
      </w:r>
      <w:r w:rsidR="00641090" w:rsidRPr="00641090">
        <w:rPr>
          <w:rFonts w:cstheme="minorHAnsi"/>
        </w:rPr>
        <w:t xml:space="preserve">attivazione e </w:t>
      </w:r>
      <w:r w:rsidR="000C5D19">
        <w:rPr>
          <w:rFonts w:cstheme="minorHAnsi"/>
        </w:rPr>
        <w:t xml:space="preserve">nella </w:t>
      </w:r>
      <w:r w:rsidR="000C5D19">
        <w:rPr>
          <w:rFonts w:cstheme="minorHAnsi"/>
        </w:rPr>
        <w:lastRenderedPageBreak/>
        <w:t>piena operatività</w:t>
      </w:r>
      <w:r w:rsidR="00641090" w:rsidRPr="00641090">
        <w:rPr>
          <w:rFonts w:cstheme="minorHAnsi"/>
        </w:rPr>
        <w:t xml:space="preserve"> delle Case della Comunità e degli Ospedali di Comunità. Lo confermano </w:t>
      </w:r>
      <w:r w:rsidR="004F5602">
        <w:rPr>
          <w:rFonts w:cstheme="minorHAnsi"/>
        </w:rPr>
        <w:t xml:space="preserve">i dati </w:t>
      </w:r>
      <w:r w:rsidR="004F5602" w:rsidRPr="00641090">
        <w:rPr>
          <w:rFonts w:cstheme="minorHAnsi"/>
        </w:rPr>
        <w:t>elaborati dalla Fondazione GIMBE</w:t>
      </w:r>
      <w:r w:rsidR="004F5602">
        <w:rPr>
          <w:rFonts w:cstheme="minorHAnsi"/>
        </w:rPr>
        <w:t xml:space="preserve"> </w:t>
      </w:r>
      <w:r w:rsidR="009B4114">
        <w:rPr>
          <w:rFonts w:cstheme="minorHAnsi"/>
        </w:rPr>
        <w:t xml:space="preserve">a partire </w:t>
      </w:r>
      <w:r w:rsidR="004F5602">
        <w:rPr>
          <w:rFonts w:cstheme="minorHAnsi"/>
        </w:rPr>
        <w:t xml:space="preserve">dal Report </w:t>
      </w:r>
      <w:hyperlink r:id="rId10" w:history="1">
        <w:r w:rsidR="00641090" w:rsidRPr="00641090">
          <w:rPr>
            <w:rStyle w:val="Collegamentoipertestuale"/>
            <w:rFonts w:cstheme="minorHAnsi"/>
          </w:rPr>
          <w:t>Agenas sul monitoraggio del DM 77</w:t>
        </w:r>
      </w:hyperlink>
      <w:r w:rsidR="00641090" w:rsidRPr="00641090">
        <w:rPr>
          <w:rFonts w:cstheme="minorHAnsi"/>
        </w:rPr>
        <w:t xml:space="preserve">, aggiornati al </w:t>
      </w:r>
      <w:r w:rsidR="004F5602">
        <w:rPr>
          <w:rFonts w:cstheme="minorHAnsi"/>
        </w:rPr>
        <w:t xml:space="preserve">20 dicembre </w:t>
      </w:r>
      <w:r w:rsidR="00641090" w:rsidRPr="00641090">
        <w:rPr>
          <w:rFonts w:cstheme="minorHAnsi"/>
        </w:rPr>
        <w:t>2024.</w:t>
      </w:r>
      <w:r w:rsidR="00641090">
        <w:rPr>
          <w:rFonts w:cstheme="minorHAnsi"/>
        </w:rPr>
        <w:t xml:space="preserve"> </w:t>
      </w:r>
      <w:r w:rsidR="00641090" w:rsidRPr="00641090">
        <w:rPr>
          <w:rFonts w:cstheme="minorHAnsi"/>
        </w:rPr>
        <w:t xml:space="preserve">«Il potenziamento dell’assistenza territoriale </w:t>
      </w:r>
      <w:r w:rsidR="009B4114" w:rsidRPr="00641090">
        <w:rPr>
          <w:rFonts w:cstheme="minorHAnsi"/>
        </w:rPr>
        <w:t xml:space="preserve">– </w:t>
      </w:r>
      <w:r w:rsidR="009B4114">
        <w:rPr>
          <w:rFonts w:cstheme="minorHAnsi"/>
        </w:rPr>
        <w:t>afferm</w:t>
      </w:r>
      <w:r w:rsidR="009B4114" w:rsidRPr="00641090">
        <w:rPr>
          <w:rFonts w:cstheme="minorHAnsi"/>
        </w:rPr>
        <w:t xml:space="preserve">a </w:t>
      </w:r>
      <w:r w:rsidR="009B4114">
        <w:rPr>
          <w:rFonts w:cstheme="minorHAnsi"/>
        </w:rPr>
        <w:t xml:space="preserve">Cartabellotta </w:t>
      </w:r>
      <w:r w:rsidR="009B4114" w:rsidRPr="00641090">
        <w:rPr>
          <w:rFonts w:cstheme="minorHAnsi"/>
        </w:rPr>
        <w:t xml:space="preserve">– </w:t>
      </w:r>
      <w:r w:rsidR="00641090" w:rsidRPr="00641090">
        <w:rPr>
          <w:rFonts w:cstheme="minorHAnsi"/>
        </w:rPr>
        <w:t xml:space="preserve">è la chiave per decongestionare ospedali e pronto soccorso e garantire </w:t>
      </w:r>
      <w:r w:rsidR="009B4114">
        <w:rPr>
          <w:rFonts w:cstheme="minorHAnsi"/>
        </w:rPr>
        <w:t>una reale</w:t>
      </w:r>
      <w:r w:rsidR="009B4114" w:rsidRPr="00641090">
        <w:rPr>
          <w:rFonts w:cstheme="minorHAnsi"/>
        </w:rPr>
        <w:t xml:space="preserve"> </w:t>
      </w:r>
      <w:r w:rsidR="00641090" w:rsidRPr="00641090">
        <w:rPr>
          <w:rFonts w:cstheme="minorHAnsi"/>
        </w:rPr>
        <w:t>sanità di prossimità</w:t>
      </w:r>
      <w:r w:rsidR="009B4114">
        <w:rPr>
          <w:rFonts w:cstheme="minorHAnsi"/>
        </w:rPr>
        <w:t>. Tuttavia,</w:t>
      </w:r>
      <w:r w:rsidR="00641090" w:rsidRPr="00641090">
        <w:rPr>
          <w:rFonts w:cstheme="minorHAnsi"/>
        </w:rPr>
        <w:t xml:space="preserve"> </w:t>
      </w:r>
      <w:r w:rsidR="009B4114">
        <w:rPr>
          <w:rFonts w:cstheme="minorHAnsi"/>
        </w:rPr>
        <w:t>i dati</w:t>
      </w:r>
      <w:r w:rsidR="00641090" w:rsidRPr="00641090">
        <w:rPr>
          <w:rFonts w:cstheme="minorHAnsi"/>
        </w:rPr>
        <w:t xml:space="preserve"> ufficiali </w:t>
      </w:r>
      <w:r w:rsidR="004F5602">
        <w:rPr>
          <w:rFonts w:cstheme="minorHAnsi"/>
        </w:rPr>
        <w:t xml:space="preserve">trasmessi dalle Regioni </w:t>
      </w:r>
      <w:r w:rsidR="00641090" w:rsidRPr="00641090">
        <w:rPr>
          <w:rFonts w:cstheme="minorHAnsi"/>
        </w:rPr>
        <w:t xml:space="preserve">dimostrano che </w:t>
      </w:r>
      <w:r w:rsidR="004F5602">
        <w:rPr>
          <w:rFonts w:cstheme="minorHAnsi"/>
        </w:rPr>
        <w:t>nonostante</w:t>
      </w:r>
      <w:r w:rsidR="00166FDA">
        <w:rPr>
          <w:rFonts w:cstheme="minorHAnsi"/>
        </w:rPr>
        <w:t xml:space="preserve"> i</w:t>
      </w:r>
      <w:r w:rsidR="004F5602">
        <w:rPr>
          <w:rFonts w:cstheme="minorHAnsi"/>
        </w:rPr>
        <w:t xml:space="preserve"> </w:t>
      </w:r>
      <w:r w:rsidR="000C5D19">
        <w:rPr>
          <w:rFonts w:cstheme="minorHAnsi"/>
        </w:rPr>
        <w:t>fondi già</w:t>
      </w:r>
      <w:r w:rsidR="00641090" w:rsidRPr="00641090">
        <w:rPr>
          <w:rFonts w:cstheme="minorHAnsi"/>
        </w:rPr>
        <w:t xml:space="preserve"> </w:t>
      </w:r>
      <w:r w:rsidR="000C5D19" w:rsidRPr="00641090">
        <w:rPr>
          <w:rFonts w:cstheme="minorHAnsi"/>
        </w:rPr>
        <w:t>stanziat</w:t>
      </w:r>
      <w:r w:rsidR="000C5D19">
        <w:rPr>
          <w:rFonts w:cstheme="minorHAnsi"/>
        </w:rPr>
        <w:t>i, il ritmo resta inaccettabilmente lento</w:t>
      </w:r>
      <w:r w:rsidR="00641090" w:rsidRPr="00641090">
        <w:rPr>
          <w:rFonts w:cstheme="minorHAnsi"/>
        </w:rPr>
        <w:t>».</w:t>
      </w:r>
    </w:p>
    <w:p w14:paraId="025DA107" w14:textId="3C27F91E" w:rsidR="0012584B" w:rsidRDefault="00A12A38" w:rsidP="00641090">
      <w:pPr>
        <w:jc w:val="both"/>
        <w:rPr>
          <w:rFonts w:cstheme="minorHAnsi"/>
        </w:rPr>
      </w:pPr>
      <w:r w:rsidRPr="00A12A38">
        <w:rPr>
          <w:rFonts w:cstheme="minorHAnsi"/>
          <w:b/>
          <w:bCs/>
        </w:rPr>
        <w:t xml:space="preserve">Case della </w:t>
      </w:r>
      <w:r w:rsidR="006A13C2">
        <w:rPr>
          <w:rFonts w:cstheme="minorHAnsi"/>
          <w:b/>
          <w:bCs/>
        </w:rPr>
        <w:t>C</w:t>
      </w:r>
      <w:r w:rsidRPr="00A12A38">
        <w:rPr>
          <w:rFonts w:cstheme="minorHAnsi"/>
          <w:b/>
          <w:bCs/>
        </w:rPr>
        <w:t>omunità</w:t>
      </w:r>
      <w:r w:rsidR="006A13C2">
        <w:rPr>
          <w:rFonts w:cstheme="minorHAnsi"/>
          <w:b/>
          <w:bCs/>
        </w:rPr>
        <w:t xml:space="preserve"> (CdC)</w:t>
      </w:r>
      <w:r w:rsidRPr="00A12A38">
        <w:rPr>
          <w:rFonts w:cstheme="minorHAnsi"/>
          <w:b/>
          <w:bCs/>
        </w:rPr>
        <w:t xml:space="preserve">. </w:t>
      </w:r>
      <w:r w:rsidR="00F47111" w:rsidRPr="00F47111">
        <w:rPr>
          <w:rFonts w:cstheme="minorHAnsi"/>
        </w:rPr>
        <w:t>Al 20 dicembre 2024, s</w:t>
      </w:r>
      <w:r w:rsidR="009B4114">
        <w:rPr>
          <w:rFonts w:cstheme="minorHAnsi"/>
        </w:rPr>
        <w:t xml:space="preserve">u </w:t>
      </w:r>
      <w:r w:rsidR="00641090" w:rsidRPr="00641090">
        <w:rPr>
          <w:rFonts w:cstheme="minorHAnsi"/>
        </w:rPr>
        <w:t xml:space="preserve">1.717 </w:t>
      </w:r>
      <w:r w:rsidR="00994D0A">
        <w:rPr>
          <w:rFonts w:cstheme="minorHAnsi"/>
        </w:rPr>
        <w:t>CdC</w:t>
      </w:r>
      <w:r w:rsidR="00641090" w:rsidRPr="00641090">
        <w:rPr>
          <w:rFonts w:cstheme="minorHAnsi"/>
        </w:rPr>
        <w:t xml:space="preserve"> previste</w:t>
      </w:r>
      <w:r w:rsidR="000C5D19">
        <w:rPr>
          <w:rFonts w:cstheme="minorHAnsi"/>
        </w:rPr>
        <w:t>,</w:t>
      </w:r>
      <w:r w:rsidR="00324D49">
        <w:rPr>
          <w:rFonts w:cstheme="minorHAnsi"/>
        </w:rPr>
        <w:t xml:space="preserve"> per</w:t>
      </w:r>
      <w:r w:rsidR="006A13C2">
        <w:rPr>
          <w:rFonts w:cstheme="minorHAnsi"/>
        </w:rPr>
        <w:t xml:space="preserve"> 1.068</w:t>
      </w:r>
      <w:r w:rsidR="00F47111">
        <w:rPr>
          <w:rFonts w:cstheme="minorHAnsi"/>
        </w:rPr>
        <w:t xml:space="preserve"> (62,2%</w:t>
      </w:r>
      <w:r w:rsidR="006A13C2">
        <w:rPr>
          <w:rFonts w:cstheme="minorHAnsi"/>
        </w:rPr>
        <w:t xml:space="preserve">) </w:t>
      </w:r>
      <w:r w:rsidR="00F47111">
        <w:rPr>
          <w:rFonts w:cstheme="minorHAnsi"/>
        </w:rPr>
        <w:t xml:space="preserve">le Regioni non </w:t>
      </w:r>
      <w:r w:rsidR="00324D49">
        <w:rPr>
          <w:rFonts w:cstheme="minorHAnsi"/>
        </w:rPr>
        <w:t xml:space="preserve">hanno </w:t>
      </w:r>
      <w:r w:rsidR="00F47111">
        <w:rPr>
          <w:rFonts w:cstheme="minorHAnsi"/>
        </w:rPr>
        <w:t xml:space="preserve">dichiarato attivo </w:t>
      </w:r>
      <w:r w:rsidR="000C5D19">
        <w:rPr>
          <w:rFonts w:cstheme="minorHAnsi"/>
        </w:rPr>
        <w:t>alcun servizio tra quelli</w:t>
      </w:r>
      <w:r w:rsidR="006A13C2">
        <w:rPr>
          <w:rFonts w:cstheme="minorHAnsi"/>
        </w:rPr>
        <w:t xml:space="preserve"> </w:t>
      </w:r>
      <w:r w:rsidR="00CD15A8">
        <w:rPr>
          <w:rFonts w:cstheme="minorHAnsi"/>
        </w:rPr>
        <w:t>previsti dal DM 77</w:t>
      </w:r>
      <w:r w:rsidR="000C5D19">
        <w:rPr>
          <w:rFonts w:cstheme="minorHAnsi"/>
        </w:rPr>
        <w:t xml:space="preserve">; </w:t>
      </w:r>
      <w:r w:rsidR="009E317A">
        <w:rPr>
          <w:rFonts w:cstheme="minorHAnsi"/>
        </w:rPr>
        <w:t xml:space="preserve">per </w:t>
      </w:r>
      <w:r w:rsidR="00641090" w:rsidRPr="00641090">
        <w:rPr>
          <w:rFonts w:cstheme="minorHAnsi"/>
        </w:rPr>
        <w:t xml:space="preserve">485 </w:t>
      </w:r>
      <w:r w:rsidR="000C5D19">
        <w:rPr>
          <w:rFonts w:cstheme="minorHAnsi"/>
        </w:rPr>
        <w:t xml:space="preserve">strutture </w:t>
      </w:r>
      <w:r w:rsidR="006A13C2">
        <w:rPr>
          <w:rFonts w:cstheme="minorHAnsi"/>
        </w:rPr>
        <w:t xml:space="preserve">(28,2%) </w:t>
      </w:r>
      <w:r w:rsidR="00F47111">
        <w:rPr>
          <w:rFonts w:cstheme="minorHAnsi"/>
        </w:rPr>
        <w:t xml:space="preserve">è stato dichiarato attivo </w:t>
      </w:r>
      <w:r w:rsidR="00641090" w:rsidRPr="00641090">
        <w:rPr>
          <w:rFonts w:cstheme="minorHAnsi"/>
        </w:rPr>
        <w:t>almeno un servizio</w:t>
      </w:r>
      <w:r w:rsidR="00231540">
        <w:rPr>
          <w:rFonts w:cstheme="minorHAnsi"/>
        </w:rPr>
        <w:t xml:space="preserve"> e solo </w:t>
      </w:r>
      <w:r w:rsidR="009E317A">
        <w:rPr>
          <w:rFonts w:cstheme="minorHAnsi"/>
        </w:rPr>
        <w:t xml:space="preserve">per </w:t>
      </w:r>
      <w:r w:rsidR="006A13C2">
        <w:rPr>
          <w:rFonts w:cstheme="minorHAnsi"/>
        </w:rPr>
        <w:t>164</w:t>
      </w:r>
      <w:r w:rsidR="00CD15A8">
        <w:rPr>
          <w:rFonts w:cstheme="minorHAnsi"/>
        </w:rPr>
        <w:t xml:space="preserve"> </w:t>
      </w:r>
      <w:r w:rsidR="00F47111">
        <w:rPr>
          <w:rFonts w:cstheme="minorHAnsi"/>
        </w:rPr>
        <w:t xml:space="preserve">(9,6%) </w:t>
      </w:r>
      <w:r w:rsidR="00CD15A8" w:rsidRPr="00CD15A8">
        <w:rPr>
          <w:rFonts w:cstheme="minorHAnsi"/>
        </w:rPr>
        <w:t xml:space="preserve">tutti i servizi obbligatori </w:t>
      </w:r>
      <w:r w:rsidR="009E317A">
        <w:rPr>
          <w:rFonts w:cstheme="minorHAnsi"/>
        </w:rPr>
        <w:t xml:space="preserve">sono stati </w:t>
      </w:r>
      <w:r w:rsidR="00CD15A8" w:rsidRPr="00CD15A8">
        <w:rPr>
          <w:rFonts w:cstheme="minorHAnsi"/>
        </w:rPr>
        <w:t>dichiarati attivi</w:t>
      </w:r>
      <w:r w:rsidR="009B4114">
        <w:rPr>
          <w:rFonts w:cstheme="minorHAnsi"/>
        </w:rPr>
        <w:t xml:space="preserve">. </w:t>
      </w:r>
      <w:r w:rsidR="00994D0A">
        <w:rPr>
          <w:rFonts w:cstheme="minorHAnsi"/>
        </w:rPr>
        <w:t>Di queste</w:t>
      </w:r>
      <w:r w:rsidR="00F47111">
        <w:rPr>
          <w:rFonts w:cstheme="minorHAnsi"/>
        </w:rPr>
        <w:t xml:space="preserve"> ultime</w:t>
      </w:r>
      <w:r w:rsidR="00994D0A">
        <w:rPr>
          <w:rFonts w:cstheme="minorHAnsi"/>
        </w:rPr>
        <w:t>, tuttavia</w:t>
      </w:r>
      <w:r w:rsidR="009B4114">
        <w:rPr>
          <w:rFonts w:cstheme="minorHAnsi"/>
        </w:rPr>
        <w:t xml:space="preserve">, soltanto </w:t>
      </w:r>
      <w:r w:rsidR="006A13C2">
        <w:rPr>
          <w:rFonts w:cstheme="minorHAnsi"/>
        </w:rPr>
        <w:t>46</w:t>
      </w:r>
      <w:r w:rsidR="009B4114">
        <w:rPr>
          <w:rFonts w:cstheme="minorHAnsi"/>
        </w:rPr>
        <w:t xml:space="preserve"> </w:t>
      </w:r>
      <w:r w:rsidR="00F47111">
        <w:rPr>
          <w:rFonts w:cstheme="minorHAnsi"/>
        </w:rPr>
        <w:t>(</w:t>
      </w:r>
      <w:r w:rsidR="006A13C2">
        <w:rPr>
          <w:rFonts w:cstheme="minorHAnsi"/>
        </w:rPr>
        <w:t>2,7% del totale</w:t>
      </w:r>
      <w:r w:rsidR="00F47111">
        <w:rPr>
          <w:rFonts w:cstheme="minorHAnsi"/>
        </w:rPr>
        <w:t>)</w:t>
      </w:r>
      <w:r w:rsidR="009B4114">
        <w:rPr>
          <w:rFonts w:cstheme="minorHAnsi"/>
        </w:rPr>
        <w:t xml:space="preserve"> risulta</w:t>
      </w:r>
      <w:r w:rsidR="00F47111">
        <w:rPr>
          <w:rFonts w:cstheme="minorHAnsi"/>
        </w:rPr>
        <w:t>va</w:t>
      </w:r>
      <w:r w:rsidR="009B4114">
        <w:rPr>
          <w:rFonts w:cstheme="minorHAnsi"/>
        </w:rPr>
        <w:t xml:space="preserve">no </w:t>
      </w:r>
      <w:r w:rsidR="006A13C2">
        <w:rPr>
          <w:rFonts w:cstheme="minorHAnsi"/>
        </w:rPr>
        <w:t>pienamente operative</w:t>
      </w:r>
      <w:r w:rsidR="009B4114">
        <w:rPr>
          <w:rFonts w:cstheme="minorHAnsi"/>
        </w:rPr>
        <w:t xml:space="preserve">, cioè </w:t>
      </w:r>
      <w:r w:rsidR="006A13C2">
        <w:rPr>
          <w:rFonts w:cstheme="minorHAnsi"/>
        </w:rPr>
        <w:t xml:space="preserve">con presenza </w:t>
      </w:r>
      <w:r w:rsidR="009E317A">
        <w:rPr>
          <w:rFonts w:cstheme="minorHAnsi"/>
        </w:rPr>
        <w:t xml:space="preserve">sia </w:t>
      </w:r>
      <w:r w:rsidR="00994D0A">
        <w:rPr>
          <w:rFonts w:cstheme="minorHAnsi"/>
        </w:rPr>
        <w:t xml:space="preserve">medica </w:t>
      </w:r>
      <w:r w:rsidR="009E317A">
        <w:rPr>
          <w:rFonts w:cstheme="minorHAnsi"/>
        </w:rPr>
        <w:t xml:space="preserve">che </w:t>
      </w:r>
      <w:r w:rsidR="00994D0A">
        <w:rPr>
          <w:rFonts w:cstheme="minorHAnsi"/>
        </w:rPr>
        <w:t>infermieristica</w:t>
      </w:r>
      <w:r w:rsidR="00C21884">
        <w:rPr>
          <w:rFonts w:cstheme="minorHAnsi"/>
        </w:rPr>
        <w:t xml:space="preserve"> (</w:t>
      </w:r>
      <w:r w:rsidR="00C21884">
        <w:rPr>
          <w:rFonts w:cstheme="minorHAnsi"/>
          <w:highlight w:val="yellow"/>
        </w:rPr>
        <w:t>Figura 2</w:t>
      </w:r>
      <w:r w:rsidR="00C21884">
        <w:rPr>
          <w:rFonts w:cstheme="minorHAnsi"/>
        </w:rPr>
        <w:t>)</w:t>
      </w:r>
      <w:r w:rsidR="006A13C2">
        <w:rPr>
          <w:rFonts w:cstheme="minorHAnsi"/>
        </w:rPr>
        <w:t xml:space="preserve">. </w:t>
      </w:r>
      <w:r w:rsidR="006A13C2" w:rsidRPr="00324D49">
        <w:rPr>
          <w:rFonts w:cstheme="minorHAnsi"/>
        </w:rPr>
        <w:t>«</w:t>
      </w:r>
      <w:r w:rsidR="00324D49" w:rsidRPr="00324D49">
        <w:rPr>
          <w:rFonts w:cstheme="minorHAnsi"/>
        </w:rPr>
        <w:t xml:space="preserve">Tenendo conto </w:t>
      </w:r>
      <w:r w:rsidR="006A13C2" w:rsidRPr="00324D49">
        <w:rPr>
          <w:rFonts w:cstheme="minorHAnsi"/>
        </w:rPr>
        <w:t>– precisa Cartabellotta –</w:t>
      </w:r>
      <w:r w:rsidR="00324D49" w:rsidRPr="00324D49">
        <w:rPr>
          <w:rFonts w:cstheme="minorHAnsi"/>
        </w:rPr>
        <w:t xml:space="preserve"> che </w:t>
      </w:r>
      <w:r w:rsidR="00DE1923">
        <w:rPr>
          <w:rFonts w:cstheme="minorHAnsi"/>
        </w:rPr>
        <w:t xml:space="preserve">tra </w:t>
      </w:r>
      <w:r w:rsidR="00324D49" w:rsidRPr="00324D49">
        <w:rPr>
          <w:rFonts w:cstheme="minorHAnsi"/>
        </w:rPr>
        <w:t xml:space="preserve">le Case della Comunità senza servizi attivi </w:t>
      </w:r>
      <w:r w:rsidR="00DE1923">
        <w:rPr>
          <w:rFonts w:cstheme="minorHAnsi"/>
        </w:rPr>
        <w:t>rientrano</w:t>
      </w:r>
      <w:r w:rsidR="00DE1923" w:rsidRPr="00324D49">
        <w:rPr>
          <w:rFonts w:cstheme="minorHAnsi"/>
        </w:rPr>
        <w:t xml:space="preserve"> </w:t>
      </w:r>
      <w:r w:rsidR="00324D49" w:rsidRPr="00324D49">
        <w:rPr>
          <w:rFonts w:cstheme="minorHAnsi"/>
        </w:rPr>
        <w:t xml:space="preserve">anche quelle non </w:t>
      </w:r>
      <w:r w:rsidR="00DE1923">
        <w:rPr>
          <w:rFonts w:cstheme="minorHAnsi"/>
        </w:rPr>
        <w:t xml:space="preserve">ancora </w:t>
      </w:r>
      <w:r w:rsidR="00324D49">
        <w:rPr>
          <w:rFonts w:cstheme="minorHAnsi"/>
        </w:rPr>
        <w:t xml:space="preserve">realizzate o </w:t>
      </w:r>
      <w:r w:rsidR="00DE1923">
        <w:rPr>
          <w:rFonts w:cstheme="minorHAnsi"/>
        </w:rPr>
        <w:t>in fase di riconversione</w:t>
      </w:r>
      <w:r w:rsidR="00324D49" w:rsidRPr="00324D49">
        <w:rPr>
          <w:rFonts w:cstheme="minorHAnsi"/>
        </w:rPr>
        <w:t xml:space="preserve">, </w:t>
      </w:r>
      <w:r w:rsidR="00DE1923">
        <w:rPr>
          <w:rFonts w:cstheme="minorHAnsi"/>
        </w:rPr>
        <w:t>resta</w:t>
      </w:r>
      <w:r w:rsidR="00324D49" w:rsidRPr="00324D49">
        <w:rPr>
          <w:rFonts w:cstheme="minorHAnsi"/>
        </w:rPr>
        <w:t xml:space="preserve"> evidente </w:t>
      </w:r>
      <w:r w:rsidR="00DE1923">
        <w:rPr>
          <w:rFonts w:cstheme="minorHAnsi"/>
        </w:rPr>
        <w:t>i</w:t>
      </w:r>
      <w:r w:rsidR="0012584B">
        <w:rPr>
          <w:rFonts w:cstheme="minorHAnsi"/>
        </w:rPr>
        <w:t xml:space="preserve">l forte ritardo accumulato </w:t>
      </w:r>
      <w:r w:rsidR="002E0878">
        <w:rPr>
          <w:rFonts w:cstheme="minorHAnsi"/>
        </w:rPr>
        <w:t xml:space="preserve">sulla </w:t>
      </w:r>
      <w:r w:rsidR="00324D49" w:rsidRPr="00324D49">
        <w:rPr>
          <w:rFonts w:cstheme="minorHAnsi"/>
        </w:rPr>
        <w:t>tabella di marcia</w:t>
      </w:r>
      <w:r w:rsidR="00DE1923">
        <w:rPr>
          <w:rFonts w:cstheme="minorHAnsi"/>
        </w:rPr>
        <w:t xml:space="preserve"> e, soprattutto, la distanza abissale </w:t>
      </w:r>
      <w:r w:rsidR="002E0878">
        <w:rPr>
          <w:rFonts w:cstheme="minorHAnsi"/>
        </w:rPr>
        <w:t>tra le Regioni</w:t>
      </w:r>
      <w:r w:rsidR="006A13C2" w:rsidRPr="00324D49">
        <w:rPr>
          <w:rFonts w:cstheme="minorHAnsi"/>
        </w:rPr>
        <w:t>»</w:t>
      </w:r>
      <w:r w:rsidR="00324D49">
        <w:rPr>
          <w:rFonts w:cstheme="minorHAnsi"/>
        </w:rPr>
        <w:t xml:space="preserve"> </w:t>
      </w:r>
      <w:r w:rsidR="002E0878">
        <w:rPr>
          <w:rFonts w:cstheme="minorHAnsi"/>
        </w:rPr>
        <w:t>(</w:t>
      </w:r>
      <w:r w:rsidR="002E0878" w:rsidRPr="00997C38">
        <w:rPr>
          <w:rFonts w:cstheme="minorHAnsi"/>
          <w:highlight w:val="yellow"/>
        </w:rPr>
        <w:t>Tabella 1</w:t>
      </w:r>
      <w:r w:rsidR="002E0878">
        <w:rPr>
          <w:rFonts w:cstheme="minorHAnsi"/>
        </w:rPr>
        <w:t>).</w:t>
      </w:r>
    </w:p>
    <w:p w14:paraId="2C9BE9AB" w14:textId="2728E7B5" w:rsidR="000C5D19" w:rsidRDefault="00A52C49" w:rsidP="00641090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181CE6">
        <w:rPr>
          <w:rFonts w:cstheme="minorHAnsi"/>
        </w:rPr>
        <w:t xml:space="preserve">olo quattro Regioni </w:t>
      </w:r>
      <w:r w:rsidR="009B4114">
        <w:rPr>
          <w:rFonts w:cstheme="minorHAnsi"/>
        </w:rPr>
        <w:t>superano</w:t>
      </w:r>
      <w:r w:rsidR="00181CE6">
        <w:rPr>
          <w:rFonts w:cstheme="minorHAnsi"/>
        </w:rPr>
        <w:t xml:space="preserve"> il 50% di CdC con almeno un servizio </w:t>
      </w:r>
      <w:r>
        <w:rPr>
          <w:rFonts w:cstheme="minorHAnsi"/>
        </w:rPr>
        <w:t xml:space="preserve">dichiarato </w:t>
      </w:r>
      <w:r w:rsidR="00181CE6">
        <w:rPr>
          <w:rFonts w:cstheme="minorHAnsi"/>
        </w:rPr>
        <w:t xml:space="preserve">attivo: </w:t>
      </w:r>
      <w:r w:rsidR="009B4114">
        <w:rPr>
          <w:rFonts w:cstheme="minorHAnsi"/>
        </w:rPr>
        <w:t>Emilia-</w:t>
      </w:r>
      <w:r w:rsidR="00181CE6">
        <w:rPr>
          <w:rFonts w:cstheme="minorHAnsi"/>
        </w:rPr>
        <w:t xml:space="preserve">Romagna (70,6%), Lombardia (66,7%), Veneto (62,6%) e Marche (55,2%). Sei Regioni si collocano tra il 25% e il 50%: Molise (38,5%), Liguria (33,3%), Piemonte (29,5%), Umbria (27,3%), Toscana (26,9%), Lazio (26,5%). </w:t>
      </w:r>
      <w:r w:rsidR="009B4114">
        <w:rPr>
          <w:rFonts w:cstheme="minorHAnsi"/>
        </w:rPr>
        <w:t>In a</w:t>
      </w:r>
      <w:r w:rsidR="00181CE6">
        <w:rPr>
          <w:rFonts w:cstheme="minorHAnsi"/>
        </w:rPr>
        <w:t xml:space="preserve">ltre cinque Regioni </w:t>
      </w:r>
      <w:r w:rsidR="009B4114">
        <w:rPr>
          <w:rFonts w:cstheme="minorHAnsi"/>
        </w:rPr>
        <w:t xml:space="preserve">la percentuale varia dallo </w:t>
      </w:r>
      <w:r w:rsidR="00181CE6">
        <w:rPr>
          <w:rFonts w:cstheme="minorHAnsi"/>
        </w:rPr>
        <w:t>0,8% della Puglia al 5% della Sardegna</w:t>
      </w:r>
      <w:r w:rsidR="009B4114">
        <w:rPr>
          <w:rFonts w:cstheme="minorHAnsi"/>
        </w:rPr>
        <w:t xml:space="preserve">, mentre in sei </w:t>
      </w:r>
      <w:r w:rsidR="00181CE6">
        <w:rPr>
          <w:rFonts w:cstheme="minorHAnsi"/>
        </w:rPr>
        <w:t xml:space="preserve">Regioni </w:t>
      </w:r>
      <w:r w:rsidR="009B4114">
        <w:rPr>
          <w:rFonts w:cstheme="minorHAnsi"/>
        </w:rPr>
        <w:t>non risulta attiva alcuna CdC</w:t>
      </w:r>
      <w:r w:rsidR="00181CE6">
        <w:rPr>
          <w:rFonts w:cstheme="minorHAnsi"/>
        </w:rPr>
        <w:t xml:space="preserve"> </w:t>
      </w:r>
      <w:r w:rsidR="00997C38">
        <w:rPr>
          <w:rFonts w:cstheme="minorHAnsi"/>
        </w:rPr>
        <w:t>(</w:t>
      </w:r>
      <w:r w:rsidR="00997C38" w:rsidRPr="00997C38">
        <w:rPr>
          <w:rFonts w:cstheme="minorHAnsi"/>
          <w:highlight w:val="yellow"/>
        </w:rPr>
        <w:t>Figura</w:t>
      </w:r>
      <w:r w:rsidR="00997C38">
        <w:rPr>
          <w:rFonts w:cstheme="minorHAnsi"/>
          <w:highlight w:val="yellow"/>
        </w:rPr>
        <w:t xml:space="preserve"> 3</w:t>
      </w:r>
      <w:r w:rsidR="00181CE6" w:rsidRPr="00A52C49">
        <w:rPr>
          <w:rFonts w:cstheme="minorHAnsi"/>
        </w:rPr>
        <w:t>)</w:t>
      </w:r>
      <w:r w:rsidR="00181CE6" w:rsidRPr="00231540">
        <w:rPr>
          <w:rFonts w:cstheme="minorHAnsi"/>
        </w:rPr>
        <w:t>.</w:t>
      </w:r>
      <w:r w:rsidR="005B69CF">
        <w:rPr>
          <w:rFonts w:cstheme="minorHAnsi"/>
        </w:rPr>
        <w:t xml:space="preserve"> </w:t>
      </w:r>
      <w:r w:rsidR="000170A8">
        <w:rPr>
          <w:rFonts w:cstheme="minorHAnsi"/>
        </w:rPr>
        <w:t>C</w:t>
      </w:r>
      <w:r w:rsidR="00453087">
        <w:rPr>
          <w:rFonts w:cstheme="minorHAnsi"/>
        </w:rPr>
        <w:t>onsidera</w:t>
      </w:r>
      <w:r w:rsidR="000170A8">
        <w:rPr>
          <w:rFonts w:cstheme="minorHAnsi"/>
        </w:rPr>
        <w:t xml:space="preserve">ndo </w:t>
      </w:r>
      <w:r w:rsidR="00453087">
        <w:rPr>
          <w:rFonts w:cstheme="minorHAnsi"/>
        </w:rPr>
        <w:t xml:space="preserve">solo </w:t>
      </w:r>
      <w:r w:rsidR="00843208">
        <w:rPr>
          <w:rFonts w:cstheme="minorHAnsi"/>
        </w:rPr>
        <w:t xml:space="preserve">le CdC con tutti i servizi </w:t>
      </w:r>
      <w:r>
        <w:rPr>
          <w:rFonts w:cstheme="minorHAnsi"/>
        </w:rPr>
        <w:t xml:space="preserve">dichiarati </w:t>
      </w:r>
      <w:r w:rsidR="00843208">
        <w:rPr>
          <w:rFonts w:cstheme="minorHAnsi"/>
        </w:rPr>
        <w:t>attivi</w:t>
      </w:r>
      <w:r w:rsidR="00453087">
        <w:rPr>
          <w:rFonts w:cstheme="minorHAnsi"/>
        </w:rPr>
        <w:t>,</w:t>
      </w:r>
      <w:r w:rsidR="00843208">
        <w:rPr>
          <w:rFonts w:cstheme="minorHAnsi"/>
        </w:rPr>
        <w:t xml:space="preserve"> </w:t>
      </w:r>
      <w:r w:rsidR="00F34ACA">
        <w:rPr>
          <w:rFonts w:cstheme="minorHAnsi"/>
        </w:rPr>
        <w:t>la</w:t>
      </w:r>
      <w:r w:rsidR="00843208">
        <w:rPr>
          <w:rFonts w:cstheme="minorHAnsi"/>
        </w:rPr>
        <w:t xml:space="preserve"> media nazionale </w:t>
      </w:r>
      <w:r w:rsidR="00F34ACA">
        <w:rPr>
          <w:rFonts w:cstheme="minorHAnsi"/>
        </w:rPr>
        <w:t xml:space="preserve">si attesta al </w:t>
      </w:r>
      <w:r w:rsidR="00843208">
        <w:rPr>
          <w:rFonts w:cstheme="minorHAnsi"/>
        </w:rPr>
        <w:t xml:space="preserve">6,9% per quelle </w:t>
      </w:r>
      <w:r w:rsidR="00DE1923">
        <w:rPr>
          <w:rFonts w:cstheme="minorHAnsi"/>
        </w:rPr>
        <w:t>prive di personale</w:t>
      </w:r>
      <w:r w:rsidR="00963A49">
        <w:rPr>
          <w:rFonts w:cstheme="minorHAnsi"/>
        </w:rPr>
        <w:t xml:space="preserve"> </w:t>
      </w:r>
      <w:r w:rsidR="00DE1923">
        <w:rPr>
          <w:rFonts w:cstheme="minorHAnsi"/>
        </w:rPr>
        <w:t xml:space="preserve">medico </w:t>
      </w:r>
      <w:r w:rsidR="00F34ACA">
        <w:rPr>
          <w:rFonts w:cstheme="minorHAnsi"/>
        </w:rPr>
        <w:t xml:space="preserve">e </w:t>
      </w:r>
      <w:r w:rsidR="00DE1923">
        <w:rPr>
          <w:rFonts w:cstheme="minorHAnsi"/>
        </w:rPr>
        <w:t xml:space="preserve">infermieristico </w:t>
      </w:r>
      <w:r w:rsidR="00843208">
        <w:rPr>
          <w:rFonts w:cstheme="minorHAnsi"/>
        </w:rPr>
        <w:t xml:space="preserve">e </w:t>
      </w:r>
      <w:r w:rsidR="00F34ACA">
        <w:rPr>
          <w:rFonts w:cstheme="minorHAnsi"/>
        </w:rPr>
        <w:t xml:space="preserve">al </w:t>
      </w:r>
      <w:r w:rsidR="00843208">
        <w:rPr>
          <w:rFonts w:cstheme="minorHAnsi"/>
        </w:rPr>
        <w:t xml:space="preserve">2,7% </w:t>
      </w:r>
      <w:r w:rsidR="00F34ACA">
        <w:rPr>
          <w:rFonts w:cstheme="minorHAnsi"/>
        </w:rPr>
        <w:t>per quelle pienamente funzionanti. Le</w:t>
      </w:r>
      <w:r w:rsidR="00843208">
        <w:rPr>
          <w:rFonts w:cstheme="minorHAnsi"/>
        </w:rPr>
        <w:t xml:space="preserve"> differenze tra Regioni </w:t>
      </w:r>
      <w:r w:rsidR="00F34ACA">
        <w:rPr>
          <w:rFonts w:cstheme="minorHAnsi"/>
        </w:rPr>
        <w:t>dipendono non solo</w:t>
      </w:r>
      <w:r w:rsidR="00453087">
        <w:rPr>
          <w:rFonts w:cstheme="minorHAnsi"/>
        </w:rPr>
        <w:t xml:space="preserve"> </w:t>
      </w:r>
      <w:r w:rsidR="00843208">
        <w:rPr>
          <w:rFonts w:cstheme="minorHAnsi"/>
        </w:rPr>
        <w:t xml:space="preserve">dal completamento delle strutture, </w:t>
      </w:r>
      <w:r w:rsidR="00F34ACA">
        <w:rPr>
          <w:rFonts w:cstheme="minorHAnsi"/>
        </w:rPr>
        <w:t xml:space="preserve">ma soprattutto </w:t>
      </w:r>
      <w:r w:rsidR="00843208">
        <w:rPr>
          <w:rFonts w:cstheme="minorHAnsi"/>
        </w:rPr>
        <w:t xml:space="preserve">dalla disponibilità di personale. </w:t>
      </w:r>
      <w:r w:rsidR="00F34ACA">
        <w:rPr>
          <w:rFonts w:cstheme="minorHAnsi"/>
        </w:rPr>
        <w:t>In</w:t>
      </w:r>
      <w:r w:rsidR="000170A8">
        <w:rPr>
          <w:rFonts w:cstheme="minorHAnsi"/>
        </w:rPr>
        <w:t xml:space="preserve"> tutte le </w:t>
      </w:r>
      <w:r w:rsidR="00843208">
        <w:rPr>
          <w:rFonts w:cstheme="minorHAnsi"/>
        </w:rPr>
        <w:t xml:space="preserve">Regioni, </w:t>
      </w:r>
      <w:r w:rsidR="00F34ACA">
        <w:rPr>
          <w:rFonts w:cstheme="minorHAnsi"/>
        </w:rPr>
        <w:t xml:space="preserve">fatta eccezione per </w:t>
      </w:r>
      <w:r w:rsidR="00843208">
        <w:rPr>
          <w:rFonts w:cstheme="minorHAnsi"/>
        </w:rPr>
        <w:t xml:space="preserve">il Molise, la </w:t>
      </w:r>
      <w:r w:rsidR="00F34ACA">
        <w:rPr>
          <w:rFonts w:cstheme="minorHAnsi"/>
        </w:rPr>
        <w:t xml:space="preserve">quota </w:t>
      </w:r>
      <w:r w:rsidR="00843208">
        <w:rPr>
          <w:rFonts w:cstheme="minorHAnsi"/>
        </w:rPr>
        <w:t xml:space="preserve">di </w:t>
      </w:r>
      <w:r w:rsidR="000170A8">
        <w:rPr>
          <w:rFonts w:cstheme="minorHAnsi"/>
        </w:rPr>
        <w:t xml:space="preserve">CdC pienamente </w:t>
      </w:r>
      <w:r w:rsidR="00DE1923">
        <w:rPr>
          <w:rFonts w:cstheme="minorHAnsi"/>
        </w:rPr>
        <w:t xml:space="preserve">operative </w:t>
      </w:r>
      <w:r w:rsidR="00843208">
        <w:rPr>
          <w:rFonts w:cstheme="minorHAnsi"/>
        </w:rPr>
        <w:t>è sempre inferiore</w:t>
      </w:r>
      <w:r w:rsidR="000170A8">
        <w:rPr>
          <w:rFonts w:cstheme="minorHAnsi"/>
        </w:rPr>
        <w:t xml:space="preserve"> rispetto a </w:t>
      </w:r>
      <w:r w:rsidR="00DE1923">
        <w:rPr>
          <w:rFonts w:cstheme="minorHAnsi"/>
        </w:rPr>
        <w:t>quelle</w:t>
      </w:r>
      <w:r w:rsidR="00F34ACA">
        <w:rPr>
          <w:rFonts w:cstheme="minorHAnsi"/>
        </w:rPr>
        <w:t xml:space="preserve"> che hanno attivato </w:t>
      </w:r>
      <w:r w:rsidR="000170A8">
        <w:rPr>
          <w:rFonts w:cstheme="minorHAnsi"/>
        </w:rPr>
        <w:t>tutti i servizi</w:t>
      </w:r>
      <w:r w:rsidR="00CC37C1">
        <w:rPr>
          <w:rFonts w:cstheme="minorHAnsi"/>
        </w:rPr>
        <w:t xml:space="preserve"> </w:t>
      </w:r>
      <w:r w:rsidR="00843208" w:rsidRPr="00231540">
        <w:rPr>
          <w:rFonts w:cstheme="minorHAnsi"/>
        </w:rPr>
        <w:t>(</w:t>
      </w:r>
      <w:r w:rsidR="00997C38">
        <w:rPr>
          <w:rFonts w:cstheme="minorHAnsi"/>
          <w:highlight w:val="yellow"/>
        </w:rPr>
        <w:t>Figura 4</w:t>
      </w:r>
      <w:r w:rsidR="00997C38">
        <w:rPr>
          <w:rFonts w:cstheme="minorHAnsi"/>
        </w:rPr>
        <w:t>)</w:t>
      </w:r>
      <w:r w:rsidR="00833796">
        <w:rPr>
          <w:rFonts w:cstheme="minorHAnsi"/>
        </w:rPr>
        <w:t>.</w:t>
      </w:r>
      <w:r w:rsidR="00641090">
        <w:rPr>
          <w:rFonts w:cstheme="minorHAnsi"/>
        </w:rPr>
        <w:t xml:space="preserve"> </w:t>
      </w:r>
    </w:p>
    <w:p w14:paraId="6979D2F7" w14:textId="36ADE33D" w:rsidR="001A1CFC" w:rsidRDefault="00A12A38" w:rsidP="00641090">
      <w:pPr>
        <w:jc w:val="both"/>
        <w:rPr>
          <w:rFonts w:cstheme="minorHAnsi"/>
        </w:rPr>
      </w:pPr>
      <w:r w:rsidRPr="00A12A38">
        <w:rPr>
          <w:rFonts w:cstheme="minorHAnsi"/>
          <w:b/>
          <w:bCs/>
        </w:rPr>
        <w:t>Ospedali di comunità</w:t>
      </w:r>
      <w:r w:rsidR="00504A30">
        <w:rPr>
          <w:rFonts w:cstheme="minorHAnsi"/>
          <w:b/>
          <w:bCs/>
        </w:rPr>
        <w:t xml:space="preserve"> (OdC)</w:t>
      </w:r>
      <w:r w:rsidRPr="00A12A38">
        <w:rPr>
          <w:rFonts w:cstheme="minorHAnsi"/>
          <w:b/>
          <w:bCs/>
        </w:rPr>
        <w:t>.</w:t>
      </w:r>
      <w:r w:rsidRPr="009E317A">
        <w:rPr>
          <w:rFonts w:cstheme="minorHAnsi"/>
        </w:rPr>
        <w:t xml:space="preserve"> </w:t>
      </w:r>
      <w:r w:rsidR="009E317A" w:rsidRPr="009E317A">
        <w:rPr>
          <w:rFonts w:cstheme="minorHAnsi"/>
        </w:rPr>
        <w:t>Al 20 dicembre 2024, d</w:t>
      </w:r>
      <w:r w:rsidR="00641090" w:rsidRPr="00641090">
        <w:rPr>
          <w:rFonts w:cstheme="minorHAnsi"/>
        </w:rPr>
        <w:t xml:space="preserve">ei 568 </w:t>
      </w:r>
      <w:r w:rsidR="00F34ACA">
        <w:rPr>
          <w:rFonts w:cstheme="minorHAnsi"/>
        </w:rPr>
        <w:t xml:space="preserve">Ospedali di Comunità </w:t>
      </w:r>
      <w:r w:rsidR="00641090" w:rsidRPr="00641090">
        <w:rPr>
          <w:rFonts w:cstheme="minorHAnsi"/>
        </w:rPr>
        <w:t>previsti, solo 124</w:t>
      </w:r>
      <w:r w:rsidR="00504A30">
        <w:rPr>
          <w:rFonts w:cstheme="minorHAnsi"/>
        </w:rPr>
        <w:t xml:space="preserve"> (</w:t>
      </w:r>
      <w:r w:rsidR="00504A30" w:rsidRPr="00641090">
        <w:rPr>
          <w:rFonts w:cstheme="minorHAnsi"/>
        </w:rPr>
        <w:t>21,8%</w:t>
      </w:r>
      <w:r w:rsidR="00504A30">
        <w:rPr>
          <w:rFonts w:cstheme="minorHAnsi"/>
        </w:rPr>
        <w:t xml:space="preserve">) </w:t>
      </w:r>
      <w:r w:rsidR="00F34ACA">
        <w:rPr>
          <w:rFonts w:cstheme="minorHAnsi"/>
        </w:rPr>
        <w:t xml:space="preserve">risultano avere </w:t>
      </w:r>
      <w:r w:rsidR="00504A30">
        <w:rPr>
          <w:rFonts w:cstheme="minorHAnsi"/>
        </w:rPr>
        <w:t xml:space="preserve">almeno un servizio attivo </w:t>
      </w:r>
      <w:r w:rsidR="00AF0E11">
        <w:rPr>
          <w:rFonts w:cstheme="minorHAnsi"/>
        </w:rPr>
        <w:t>(</w:t>
      </w:r>
      <w:r w:rsidR="00997C38" w:rsidRPr="00997C38">
        <w:rPr>
          <w:rFonts w:cstheme="minorHAnsi"/>
          <w:highlight w:val="yellow"/>
        </w:rPr>
        <w:t>Tabella 2</w:t>
      </w:r>
      <w:r w:rsidR="00504A30" w:rsidRPr="00231540">
        <w:rPr>
          <w:rFonts w:cstheme="minorHAnsi"/>
        </w:rPr>
        <w:t>)</w:t>
      </w:r>
      <w:r w:rsidR="00641090" w:rsidRPr="00641090">
        <w:rPr>
          <w:rFonts w:cstheme="minorHAnsi"/>
        </w:rPr>
        <w:t xml:space="preserve">, </w:t>
      </w:r>
      <w:r w:rsidR="00F34ACA">
        <w:rPr>
          <w:rFonts w:cstheme="minorHAnsi"/>
        </w:rPr>
        <w:t>per un totale di quasi</w:t>
      </w:r>
      <w:r w:rsidR="00714C27">
        <w:rPr>
          <w:rFonts w:cstheme="minorHAnsi"/>
        </w:rPr>
        <w:t xml:space="preserve"> </w:t>
      </w:r>
      <w:r w:rsidR="004E4378">
        <w:rPr>
          <w:rFonts w:cstheme="minorHAnsi"/>
        </w:rPr>
        <w:t>2.100</w:t>
      </w:r>
      <w:r w:rsidR="00641090" w:rsidRPr="00641090">
        <w:rPr>
          <w:rFonts w:cstheme="minorHAnsi"/>
        </w:rPr>
        <w:t xml:space="preserve"> posti letto. </w:t>
      </w:r>
      <w:r w:rsidR="00504A30">
        <w:rPr>
          <w:rFonts w:cstheme="minorHAnsi"/>
        </w:rPr>
        <w:t xml:space="preserve">In termini assoluti, </w:t>
      </w:r>
      <w:r w:rsidR="001A1CFC" w:rsidRPr="001A1CFC">
        <w:rPr>
          <w:rFonts w:cstheme="minorHAnsi"/>
        </w:rPr>
        <w:t xml:space="preserve">i numeri più alti si registrano </w:t>
      </w:r>
      <w:r w:rsidR="001A1CFC">
        <w:rPr>
          <w:rFonts w:cstheme="minorHAnsi"/>
        </w:rPr>
        <w:t xml:space="preserve">in </w:t>
      </w:r>
      <w:r w:rsidR="00504A30">
        <w:rPr>
          <w:rFonts w:cstheme="minorHAnsi"/>
        </w:rPr>
        <w:t>Veneto (n.</w:t>
      </w:r>
      <w:r w:rsidR="001E206E">
        <w:rPr>
          <w:rFonts w:cstheme="minorHAnsi"/>
        </w:rPr>
        <w:t xml:space="preserve"> </w:t>
      </w:r>
      <w:r w:rsidR="00504A30">
        <w:rPr>
          <w:rFonts w:cstheme="minorHAnsi"/>
        </w:rPr>
        <w:t xml:space="preserve">43), Lombardia (n. 25) ed </w:t>
      </w:r>
      <w:r w:rsidR="001A1CFC">
        <w:rPr>
          <w:rFonts w:cstheme="minorHAnsi"/>
        </w:rPr>
        <w:t>Emilia-</w:t>
      </w:r>
      <w:r w:rsidR="00504A30">
        <w:rPr>
          <w:rFonts w:cstheme="minorHAnsi"/>
        </w:rPr>
        <w:t>Romagna (n. 21)</w:t>
      </w:r>
      <w:r w:rsidR="001A1CFC">
        <w:rPr>
          <w:rFonts w:cstheme="minorHAnsi"/>
        </w:rPr>
        <w:t>.</w:t>
      </w:r>
      <w:r w:rsidR="009E317A">
        <w:rPr>
          <w:rFonts w:cstheme="minorHAnsi"/>
        </w:rPr>
        <w:t xml:space="preserve"> </w:t>
      </w:r>
      <w:r w:rsidR="00504A30">
        <w:rPr>
          <w:rFonts w:cstheme="minorHAnsi"/>
        </w:rPr>
        <w:t xml:space="preserve">Altre dieci Regioni hanno </w:t>
      </w:r>
      <w:r w:rsidR="00F34ACA">
        <w:rPr>
          <w:rFonts w:cstheme="minorHAnsi"/>
        </w:rPr>
        <w:t xml:space="preserve">attivato almeno </w:t>
      </w:r>
      <w:r w:rsidR="00504A30">
        <w:rPr>
          <w:rFonts w:cstheme="minorHAnsi"/>
        </w:rPr>
        <w:t>un OdC</w:t>
      </w:r>
      <w:r w:rsidR="009E317A">
        <w:rPr>
          <w:rFonts w:cstheme="minorHAnsi"/>
        </w:rPr>
        <w:t xml:space="preserve">: </w:t>
      </w:r>
      <w:r w:rsidR="00504A30">
        <w:rPr>
          <w:rFonts w:cstheme="minorHAnsi"/>
        </w:rPr>
        <w:t xml:space="preserve">dagli 8 della Puglia a </w:t>
      </w:r>
      <w:r w:rsidR="00F34ACA">
        <w:rPr>
          <w:rFonts w:cstheme="minorHAnsi"/>
        </w:rPr>
        <w:t xml:space="preserve">un solo OdC in </w:t>
      </w:r>
      <w:r w:rsidR="00504A30">
        <w:rPr>
          <w:rFonts w:cstheme="minorHAnsi"/>
        </w:rPr>
        <w:t xml:space="preserve">Campania e Sardegna. </w:t>
      </w:r>
      <w:r w:rsidR="00F34ACA">
        <w:rPr>
          <w:rFonts w:cstheme="minorHAnsi"/>
        </w:rPr>
        <w:t>Otto</w:t>
      </w:r>
      <w:r w:rsidR="00504A30">
        <w:rPr>
          <w:rFonts w:cstheme="minorHAnsi"/>
        </w:rPr>
        <w:t xml:space="preserve"> Regioni</w:t>
      </w:r>
      <w:r w:rsidR="002E431F">
        <w:rPr>
          <w:rFonts w:cstheme="minorHAnsi"/>
        </w:rPr>
        <w:t xml:space="preserve"> restano invece ancora</w:t>
      </w:r>
      <w:r w:rsidR="00504A30">
        <w:rPr>
          <w:rFonts w:cstheme="minorHAnsi"/>
        </w:rPr>
        <w:t xml:space="preserve"> a quota zero. </w:t>
      </w:r>
      <w:r w:rsidR="00F34ACA">
        <w:rPr>
          <w:rFonts w:cstheme="minorHAnsi"/>
        </w:rPr>
        <w:t>A</w:t>
      </w:r>
      <w:r w:rsidR="00504A30">
        <w:rPr>
          <w:rFonts w:cstheme="minorHAnsi"/>
        </w:rPr>
        <w:t xml:space="preserve"> fronte di una media nazionale del 22%</w:t>
      </w:r>
      <w:r w:rsidR="00F34ACA">
        <w:rPr>
          <w:rFonts w:cstheme="minorHAnsi"/>
        </w:rPr>
        <w:t xml:space="preserve">, le percentuali regionali variano in modo significativo: il </w:t>
      </w:r>
      <w:r w:rsidR="00504A30">
        <w:rPr>
          <w:rFonts w:cstheme="minorHAnsi"/>
        </w:rPr>
        <w:t>Molise</w:t>
      </w:r>
      <w:r w:rsidR="00F34ACA">
        <w:rPr>
          <w:rFonts w:cstheme="minorHAnsi"/>
        </w:rPr>
        <w:t>,</w:t>
      </w:r>
      <w:r w:rsidR="00504A30">
        <w:rPr>
          <w:rFonts w:cstheme="minorHAnsi"/>
        </w:rPr>
        <w:t xml:space="preserve"> </w:t>
      </w:r>
      <w:r w:rsidR="00F34ACA">
        <w:rPr>
          <w:rFonts w:cstheme="minorHAnsi"/>
        </w:rPr>
        <w:t xml:space="preserve">con soli 2 OdC da realizzare, </w:t>
      </w:r>
      <w:r w:rsidR="00504A30">
        <w:rPr>
          <w:rFonts w:cstheme="minorHAnsi"/>
        </w:rPr>
        <w:t>raggiunge il 100</w:t>
      </w:r>
      <w:r w:rsidR="002E431F">
        <w:rPr>
          <w:rFonts w:cstheme="minorHAnsi"/>
        </w:rPr>
        <w:t xml:space="preserve">%; all’estremo opposto, </w:t>
      </w:r>
      <w:r w:rsidR="00BD35F9">
        <w:rPr>
          <w:rFonts w:cstheme="minorHAnsi"/>
        </w:rPr>
        <w:t>otto Regioni</w:t>
      </w:r>
      <w:r w:rsidR="00BD35F9" w:rsidRPr="00F34ACA">
        <w:rPr>
          <w:rFonts w:cstheme="minorHAnsi"/>
        </w:rPr>
        <w:t xml:space="preserve"> non hanno attivato alcun OdC</w:t>
      </w:r>
      <w:r w:rsidR="00BD35F9">
        <w:rPr>
          <w:rFonts w:cstheme="minorHAnsi"/>
        </w:rPr>
        <w:t xml:space="preserve">, </w:t>
      </w:r>
      <w:r w:rsidR="00F34ACA">
        <w:rPr>
          <w:rFonts w:cstheme="minorHAnsi"/>
        </w:rPr>
        <w:t xml:space="preserve">mentre le altre si </w:t>
      </w:r>
      <w:r w:rsidR="002E431F">
        <w:rPr>
          <w:rFonts w:cstheme="minorHAnsi"/>
        </w:rPr>
        <w:t xml:space="preserve">distribuiscono </w:t>
      </w:r>
      <w:r w:rsidR="00F34ACA">
        <w:rPr>
          <w:rFonts w:cstheme="minorHAnsi"/>
        </w:rPr>
        <w:t>tra il</w:t>
      </w:r>
      <w:r w:rsidR="00504A30">
        <w:rPr>
          <w:rFonts w:cstheme="minorHAnsi"/>
        </w:rPr>
        <w:t xml:space="preserve"> 2% della Campania </w:t>
      </w:r>
      <w:r w:rsidR="00F34ACA">
        <w:rPr>
          <w:rFonts w:cstheme="minorHAnsi"/>
        </w:rPr>
        <w:t xml:space="preserve">e il </w:t>
      </w:r>
      <w:r w:rsidR="00504A30">
        <w:rPr>
          <w:rFonts w:cstheme="minorHAnsi"/>
        </w:rPr>
        <w:t>61% del Veneto</w:t>
      </w:r>
      <w:r w:rsidR="00F34ACA">
        <w:rPr>
          <w:rFonts w:cstheme="minorHAnsi"/>
        </w:rPr>
        <w:t xml:space="preserve"> </w:t>
      </w:r>
      <w:r w:rsidR="000A5363" w:rsidRPr="0006218B">
        <w:rPr>
          <w:rFonts w:cstheme="minorHAnsi"/>
        </w:rPr>
        <w:t>(</w:t>
      </w:r>
      <w:r w:rsidR="00504A30">
        <w:rPr>
          <w:rFonts w:cstheme="minorHAnsi"/>
          <w:highlight w:val="yellow"/>
        </w:rPr>
        <w:t>Figura 5</w:t>
      </w:r>
      <w:r w:rsidR="00504A30">
        <w:rPr>
          <w:rFonts w:cstheme="minorHAnsi"/>
        </w:rPr>
        <w:t>)</w:t>
      </w:r>
      <w:r w:rsidR="00714C27">
        <w:rPr>
          <w:rFonts w:cstheme="minorHAnsi"/>
        </w:rPr>
        <w:t xml:space="preserve">. </w:t>
      </w:r>
      <w:r w:rsidR="00714C27" w:rsidRPr="00641090">
        <w:rPr>
          <w:rFonts w:cstheme="minorHAnsi"/>
        </w:rPr>
        <w:t>«</w:t>
      </w:r>
      <w:r w:rsidR="002E431F">
        <w:rPr>
          <w:rFonts w:cstheme="minorHAnsi"/>
        </w:rPr>
        <w:t>Rispetto alle C</w:t>
      </w:r>
      <w:r w:rsidR="009E317A">
        <w:rPr>
          <w:rFonts w:cstheme="minorHAnsi"/>
        </w:rPr>
        <w:t>ase della Comunità</w:t>
      </w:r>
      <w:r w:rsidR="002E431F">
        <w:rPr>
          <w:rFonts w:cstheme="minorHAnsi"/>
        </w:rPr>
        <w:t xml:space="preserve"> </w:t>
      </w:r>
      <w:r w:rsidR="00714C27" w:rsidRPr="00641090">
        <w:rPr>
          <w:rFonts w:cstheme="minorHAnsi"/>
        </w:rPr>
        <w:t>–</w:t>
      </w:r>
      <w:r w:rsidR="00714C27">
        <w:rPr>
          <w:rFonts w:cstheme="minorHAnsi"/>
        </w:rPr>
        <w:t xml:space="preserve"> commenta Cartabellotta </w:t>
      </w:r>
      <w:r w:rsidR="00714C27" w:rsidRPr="00641090">
        <w:rPr>
          <w:rFonts w:cstheme="minorHAnsi"/>
        </w:rPr>
        <w:t>–</w:t>
      </w:r>
      <w:r w:rsidR="00714C27">
        <w:rPr>
          <w:rFonts w:cstheme="minorHAnsi"/>
        </w:rPr>
        <w:t xml:space="preserve"> </w:t>
      </w:r>
      <w:r w:rsidR="002E431F">
        <w:rPr>
          <w:rFonts w:cstheme="minorHAnsi"/>
        </w:rPr>
        <w:t>lo stato di attuazione de</w:t>
      </w:r>
      <w:r w:rsidR="002E431F" w:rsidRPr="00641090">
        <w:rPr>
          <w:rFonts w:cstheme="minorHAnsi"/>
        </w:rPr>
        <w:t xml:space="preserve">gli </w:t>
      </w:r>
      <w:r w:rsidR="002E431F">
        <w:rPr>
          <w:rFonts w:cstheme="minorHAnsi"/>
        </w:rPr>
        <w:t>O</w:t>
      </w:r>
      <w:r w:rsidR="009E317A">
        <w:rPr>
          <w:rFonts w:cstheme="minorHAnsi"/>
        </w:rPr>
        <w:t xml:space="preserve">spedali di </w:t>
      </w:r>
      <w:r w:rsidR="002E431F">
        <w:rPr>
          <w:rFonts w:cstheme="minorHAnsi"/>
        </w:rPr>
        <w:t>C</w:t>
      </w:r>
      <w:r w:rsidR="009E317A">
        <w:rPr>
          <w:rFonts w:cstheme="minorHAnsi"/>
        </w:rPr>
        <w:t>omunità</w:t>
      </w:r>
      <w:r w:rsidR="002E431F">
        <w:rPr>
          <w:rFonts w:cstheme="minorHAnsi"/>
        </w:rPr>
        <w:t xml:space="preserve"> </w:t>
      </w:r>
      <w:r w:rsidR="005A6A75">
        <w:rPr>
          <w:rFonts w:cstheme="minorHAnsi"/>
        </w:rPr>
        <w:t xml:space="preserve">appare </w:t>
      </w:r>
      <w:r w:rsidR="00714C27">
        <w:rPr>
          <w:rFonts w:cstheme="minorHAnsi"/>
        </w:rPr>
        <w:t>ancora più indietro</w:t>
      </w:r>
      <w:r w:rsidR="002E431F">
        <w:rPr>
          <w:rFonts w:cstheme="minorHAnsi"/>
        </w:rPr>
        <w:t>:</w:t>
      </w:r>
      <w:r w:rsidR="00714C27">
        <w:rPr>
          <w:rFonts w:cstheme="minorHAnsi"/>
        </w:rPr>
        <w:t xml:space="preserve"> non solo </w:t>
      </w:r>
      <w:r w:rsidR="002E431F">
        <w:rPr>
          <w:rFonts w:cstheme="minorHAnsi"/>
        </w:rPr>
        <w:t>sul piano</w:t>
      </w:r>
      <w:r w:rsidR="00714C27">
        <w:rPr>
          <w:rFonts w:cstheme="minorHAnsi"/>
        </w:rPr>
        <w:t xml:space="preserve"> </w:t>
      </w:r>
      <w:r w:rsidR="002E431F">
        <w:rPr>
          <w:rFonts w:cstheme="minorHAnsi"/>
        </w:rPr>
        <w:t>strutturale</w:t>
      </w:r>
      <w:r w:rsidR="00714C27">
        <w:rPr>
          <w:rFonts w:cstheme="minorHAnsi"/>
        </w:rPr>
        <w:t xml:space="preserve">, ma anche perché nessuna Regione </w:t>
      </w:r>
      <w:r w:rsidR="00F34ACA">
        <w:rPr>
          <w:rFonts w:cstheme="minorHAnsi"/>
        </w:rPr>
        <w:t xml:space="preserve">ha attivato </w:t>
      </w:r>
      <w:r w:rsidR="00CC37C1">
        <w:rPr>
          <w:rFonts w:cstheme="minorHAnsi"/>
        </w:rPr>
        <w:t xml:space="preserve">tutti i </w:t>
      </w:r>
      <w:r w:rsidR="00F34ACA">
        <w:rPr>
          <w:rFonts w:cstheme="minorHAnsi"/>
        </w:rPr>
        <w:t>servizi</w:t>
      </w:r>
      <w:r w:rsidR="00714C27">
        <w:rPr>
          <w:rFonts w:cstheme="minorHAnsi"/>
        </w:rPr>
        <w:t xml:space="preserve"> previsti</w:t>
      </w:r>
      <w:r w:rsidR="00357FE6">
        <w:rPr>
          <w:rFonts w:cstheme="minorHAnsi"/>
        </w:rPr>
        <w:t xml:space="preserve"> dal DM 77</w:t>
      </w:r>
      <w:r w:rsidR="00714C27" w:rsidRPr="00641090">
        <w:rPr>
          <w:rFonts w:cstheme="minorHAnsi"/>
        </w:rPr>
        <w:t>»</w:t>
      </w:r>
      <w:r w:rsidR="00714C27">
        <w:rPr>
          <w:rFonts w:cstheme="minorHAnsi"/>
        </w:rPr>
        <w:t xml:space="preserve">. Infatti, </w:t>
      </w:r>
      <w:r w:rsidR="00F34ACA">
        <w:rPr>
          <w:rFonts w:cstheme="minorHAnsi"/>
        </w:rPr>
        <w:t>per essere pienamente operativi, gli</w:t>
      </w:r>
      <w:r w:rsidR="00714C27">
        <w:rPr>
          <w:rFonts w:cstheme="minorHAnsi"/>
        </w:rPr>
        <w:t xml:space="preserve"> OdC</w:t>
      </w:r>
      <w:r w:rsidR="00F34ACA">
        <w:rPr>
          <w:rFonts w:cstheme="minorHAnsi"/>
        </w:rPr>
        <w:t xml:space="preserve"> devono garantire</w:t>
      </w:r>
      <w:r w:rsidR="00714C27">
        <w:rPr>
          <w:rFonts w:cstheme="minorHAnsi"/>
        </w:rPr>
        <w:t xml:space="preserve"> p</w:t>
      </w:r>
      <w:r w:rsidR="00714C27" w:rsidRPr="00714C27">
        <w:rPr>
          <w:rFonts w:cstheme="minorHAnsi"/>
        </w:rPr>
        <w:t>resenza medica</w:t>
      </w:r>
      <w:r w:rsidR="00F34ACA">
        <w:rPr>
          <w:rFonts w:cstheme="minorHAnsi"/>
        </w:rPr>
        <w:t xml:space="preserve"> per </w:t>
      </w:r>
      <w:r w:rsidR="00714C27" w:rsidRPr="00714C27">
        <w:rPr>
          <w:rFonts w:cstheme="minorHAnsi"/>
        </w:rPr>
        <w:t>almeno</w:t>
      </w:r>
      <w:r w:rsidR="00714C27">
        <w:rPr>
          <w:rFonts w:cstheme="minorHAnsi"/>
        </w:rPr>
        <w:t xml:space="preserve"> </w:t>
      </w:r>
      <w:r w:rsidR="00714C27" w:rsidRPr="00714C27">
        <w:rPr>
          <w:rFonts w:cstheme="minorHAnsi"/>
        </w:rPr>
        <w:t>4,5 ore al giorno</w:t>
      </w:r>
      <w:r w:rsidR="00F34ACA">
        <w:rPr>
          <w:rFonts w:cstheme="minorHAnsi"/>
        </w:rPr>
        <w:t xml:space="preserve"> sei giorni su sette,</w:t>
      </w:r>
      <w:r w:rsidR="00714C27">
        <w:rPr>
          <w:rFonts w:cstheme="minorHAnsi"/>
        </w:rPr>
        <w:t xml:space="preserve"> </w:t>
      </w:r>
      <w:r w:rsidR="00F34ACA">
        <w:rPr>
          <w:rFonts w:cstheme="minorHAnsi"/>
        </w:rPr>
        <w:t xml:space="preserve">assistenza </w:t>
      </w:r>
      <w:r w:rsidR="00714C27" w:rsidRPr="00714C27">
        <w:rPr>
          <w:rFonts w:cstheme="minorHAnsi"/>
        </w:rPr>
        <w:t>infermieristica</w:t>
      </w:r>
      <w:r w:rsidR="00714C27">
        <w:rPr>
          <w:rFonts w:cstheme="minorHAnsi"/>
        </w:rPr>
        <w:t xml:space="preserve"> </w:t>
      </w:r>
      <w:r w:rsidR="00F34ACA">
        <w:rPr>
          <w:rFonts w:cstheme="minorHAnsi"/>
        </w:rPr>
        <w:t xml:space="preserve">continuativa </w:t>
      </w:r>
      <w:r w:rsidR="00714C27">
        <w:rPr>
          <w:rFonts w:cstheme="minorHAnsi"/>
        </w:rPr>
        <w:t>(</w:t>
      </w:r>
      <w:r w:rsidR="00714C27" w:rsidRPr="00714C27">
        <w:rPr>
          <w:rFonts w:cstheme="minorHAnsi"/>
        </w:rPr>
        <w:t>H24 7/7</w:t>
      </w:r>
      <w:r w:rsidR="000170A8">
        <w:rPr>
          <w:rFonts w:cstheme="minorHAnsi"/>
        </w:rPr>
        <w:t xml:space="preserve"> giorni</w:t>
      </w:r>
      <w:r w:rsidR="00714C27">
        <w:rPr>
          <w:rFonts w:cstheme="minorHAnsi"/>
        </w:rPr>
        <w:t>)</w:t>
      </w:r>
      <w:r w:rsidR="00F34ACA">
        <w:rPr>
          <w:rFonts w:cstheme="minorHAnsi"/>
        </w:rPr>
        <w:t>, la figura del</w:t>
      </w:r>
      <w:r w:rsidR="00714C27">
        <w:rPr>
          <w:rFonts w:cstheme="minorHAnsi"/>
        </w:rPr>
        <w:t xml:space="preserve"> c</w:t>
      </w:r>
      <w:r w:rsidR="00714C27" w:rsidRPr="00714C27">
        <w:rPr>
          <w:rFonts w:cstheme="minorHAnsi"/>
        </w:rPr>
        <w:t xml:space="preserve">ase </w:t>
      </w:r>
      <w:r w:rsidR="00714C27">
        <w:rPr>
          <w:rFonts w:cstheme="minorHAnsi"/>
        </w:rPr>
        <w:t>m</w:t>
      </w:r>
      <w:r w:rsidR="00714C27" w:rsidRPr="00714C27">
        <w:rPr>
          <w:rFonts w:cstheme="minorHAnsi"/>
        </w:rPr>
        <w:t>anager</w:t>
      </w:r>
      <w:r w:rsidR="00714C27">
        <w:rPr>
          <w:rFonts w:cstheme="minorHAnsi"/>
        </w:rPr>
        <w:t xml:space="preserve">, </w:t>
      </w:r>
      <w:r w:rsidR="00714C27" w:rsidRPr="00714C27">
        <w:rPr>
          <w:rFonts w:cstheme="minorHAnsi"/>
        </w:rPr>
        <w:t xml:space="preserve">posti letto </w:t>
      </w:r>
      <w:r w:rsidR="00F34ACA">
        <w:rPr>
          <w:rFonts w:cstheme="minorHAnsi"/>
        </w:rPr>
        <w:t>per</w:t>
      </w:r>
      <w:r w:rsidR="00714C27" w:rsidRPr="00714C27">
        <w:rPr>
          <w:rFonts w:cstheme="minorHAnsi"/>
        </w:rPr>
        <w:t xml:space="preserve"> pazienti con demenza o</w:t>
      </w:r>
      <w:r w:rsidR="00714C27">
        <w:rPr>
          <w:rFonts w:cstheme="minorHAnsi"/>
        </w:rPr>
        <w:t xml:space="preserve"> </w:t>
      </w:r>
      <w:r w:rsidR="00714C27" w:rsidRPr="00714C27">
        <w:rPr>
          <w:rFonts w:cstheme="minorHAnsi"/>
        </w:rPr>
        <w:t>disturbi comportamentali</w:t>
      </w:r>
      <w:r w:rsidR="00714C27">
        <w:rPr>
          <w:rFonts w:cstheme="minorHAnsi"/>
        </w:rPr>
        <w:t xml:space="preserve"> e </w:t>
      </w:r>
      <w:r w:rsidR="00714C27" w:rsidRPr="00714C27">
        <w:rPr>
          <w:rFonts w:cstheme="minorHAnsi"/>
        </w:rPr>
        <w:t xml:space="preserve">spazi </w:t>
      </w:r>
      <w:r w:rsidR="00F34ACA">
        <w:rPr>
          <w:rFonts w:cstheme="minorHAnsi"/>
        </w:rPr>
        <w:t>dedicati alla</w:t>
      </w:r>
      <w:r w:rsidR="00714C27" w:rsidRPr="00714C27">
        <w:rPr>
          <w:rFonts w:cstheme="minorHAnsi"/>
        </w:rPr>
        <w:t xml:space="preserve"> riabilitazione</w:t>
      </w:r>
      <w:r w:rsidR="00714C27">
        <w:rPr>
          <w:rFonts w:cstheme="minorHAnsi"/>
        </w:rPr>
        <w:t xml:space="preserve"> </w:t>
      </w:r>
      <w:r w:rsidR="00714C27" w:rsidRPr="00714C27">
        <w:rPr>
          <w:rFonts w:cstheme="minorHAnsi"/>
        </w:rPr>
        <w:t>motoria</w:t>
      </w:r>
      <w:r w:rsidR="00714C27">
        <w:rPr>
          <w:rFonts w:cstheme="minorHAnsi"/>
        </w:rPr>
        <w:t xml:space="preserve">. </w:t>
      </w:r>
    </w:p>
    <w:p w14:paraId="30E4E7F9" w14:textId="420D3551" w:rsidR="00426075" w:rsidRDefault="00A12A38" w:rsidP="00641090">
      <w:pPr>
        <w:jc w:val="both"/>
        <w:rPr>
          <w:rFonts w:cstheme="minorHAnsi"/>
        </w:rPr>
      </w:pPr>
      <w:r w:rsidRPr="00A12A38">
        <w:rPr>
          <w:rFonts w:cstheme="minorHAnsi"/>
          <w:b/>
          <w:bCs/>
        </w:rPr>
        <w:t xml:space="preserve">Centrali </w:t>
      </w:r>
      <w:r w:rsidR="00426075">
        <w:rPr>
          <w:rFonts w:cstheme="minorHAnsi"/>
          <w:b/>
          <w:bCs/>
        </w:rPr>
        <w:t>O</w:t>
      </w:r>
      <w:r w:rsidRPr="00A12A38">
        <w:rPr>
          <w:rFonts w:cstheme="minorHAnsi"/>
          <w:b/>
          <w:bCs/>
        </w:rPr>
        <w:t xml:space="preserve">perative </w:t>
      </w:r>
      <w:r w:rsidR="00426075">
        <w:rPr>
          <w:rFonts w:cstheme="minorHAnsi"/>
          <w:b/>
          <w:bCs/>
        </w:rPr>
        <w:t>T</w:t>
      </w:r>
      <w:r w:rsidRPr="00A12A38">
        <w:rPr>
          <w:rFonts w:cstheme="minorHAnsi"/>
          <w:b/>
          <w:bCs/>
        </w:rPr>
        <w:t>erritoriali</w:t>
      </w:r>
      <w:r w:rsidR="00426075">
        <w:rPr>
          <w:rFonts w:cstheme="minorHAnsi"/>
          <w:b/>
          <w:bCs/>
        </w:rPr>
        <w:t xml:space="preserve"> (COT)</w:t>
      </w:r>
      <w:r w:rsidRPr="00426075">
        <w:rPr>
          <w:rFonts w:cstheme="minorHAnsi"/>
        </w:rPr>
        <w:t xml:space="preserve">. </w:t>
      </w:r>
      <w:r w:rsidR="00277F16">
        <w:rPr>
          <w:rFonts w:cstheme="minorHAnsi"/>
        </w:rPr>
        <w:t>Le</w:t>
      </w:r>
      <w:r w:rsidR="00DF78AE">
        <w:rPr>
          <w:rFonts w:cstheme="minorHAnsi"/>
        </w:rPr>
        <w:t xml:space="preserve"> COT,</w:t>
      </w:r>
      <w:r w:rsidR="00277F16">
        <w:rPr>
          <w:rFonts w:cstheme="minorHAnsi"/>
        </w:rPr>
        <w:t xml:space="preserve"> s</w:t>
      </w:r>
      <w:r w:rsidR="00277F16" w:rsidRPr="00426075">
        <w:rPr>
          <w:rFonts w:cstheme="minorHAnsi"/>
        </w:rPr>
        <w:t xml:space="preserve">trutture essenziali </w:t>
      </w:r>
      <w:r w:rsidR="00277F16">
        <w:rPr>
          <w:rFonts w:cstheme="minorHAnsi"/>
        </w:rPr>
        <w:t xml:space="preserve">per </w:t>
      </w:r>
      <w:r w:rsidR="00277F16" w:rsidRPr="00426075">
        <w:rPr>
          <w:rFonts w:cstheme="minorHAnsi"/>
        </w:rPr>
        <w:t>coordin</w:t>
      </w:r>
      <w:r w:rsidR="00277F16">
        <w:rPr>
          <w:rFonts w:cstheme="minorHAnsi"/>
        </w:rPr>
        <w:t>are</w:t>
      </w:r>
      <w:r w:rsidR="00277F16" w:rsidRPr="00426075">
        <w:rPr>
          <w:rFonts w:cstheme="minorHAnsi"/>
        </w:rPr>
        <w:t xml:space="preserve"> </w:t>
      </w:r>
      <w:r w:rsidR="00277F16">
        <w:rPr>
          <w:rFonts w:cstheme="minorHAnsi"/>
        </w:rPr>
        <w:t xml:space="preserve">la </w:t>
      </w:r>
      <w:r w:rsidR="00277F16" w:rsidRPr="00426075">
        <w:rPr>
          <w:rFonts w:cstheme="minorHAnsi"/>
        </w:rPr>
        <w:t xml:space="preserve">presa in carico dei pazienti e </w:t>
      </w:r>
      <w:r w:rsidR="00277F16">
        <w:rPr>
          <w:rFonts w:cstheme="minorHAnsi"/>
        </w:rPr>
        <w:t xml:space="preserve">integrare </w:t>
      </w:r>
      <w:r w:rsidR="00277F16" w:rsidRPr="00426075">
        <w:rPr>
          <w:rFonts w:cstheme="minorHAnsi"/>
        </w:rPr>
        <w:t>l’assistenza sanitaria e sociosanitaria</w:t>
      </w:r>
      <w:r w:rsidR="004C1A68">
        <w:rPr>
          <w:rFonts w:cstheme="minorHAnsi"/>
        </w:rPr>
        <w:t>,</w:t>
      </w:r>
      <w:r w:rsidR="00277F16" w:rsidRPr="00426075">
        <w:rPr>
          <w:rFonts w:cstheme="minorHAnsi"/>
        </w:rPr>
        <w:t xml:space="preserve"> risultano attivate in tutte le Regioni</w:t>
      </w:r>
      <w:r w:rsidR="00277F16">
        <w:rPr>
          <w:rFonts w:cstheme="minorHAnsi"/>
        </w:rPr>
        <w:t xml:space="preserve">. </w:t>
      </w:r>
      <w:r w:rsidR="000170A8">
        <w:rPr>
          <w:rFonts w:cstheme="minorHAnsi"/>
        </w:rPr>
        <w:t>A</w:t>
      </w:r>
      <w:r w:rsidR="00426075" w:rsidRPr="00426075">
        <w:rPr>
          <w:rFonts w:cstheme="minorHAnsi"/>
        </w:rPr>
        <w:t>l</w:t>
      </w:r>
      <w:r w:rsidR="00426075">
        <w:rPr>
          <w:rFonts w:cstheme="minorHAnsi"/>
        </w:rPr>
        <w:t xml:space="preserve"> 31 </w:t>
      </w:r>
      <w:r w:rsidR="00426075" w:rsidRPr="00426075">
        <w:rPr>
          <w:rFonts w:cstheme="minorHAnsi"/>
        </w:rPr>
        <w:t>dicembre 2024</w:t>
      </w:r>
      <w:r w:rsidR="000170A8">
        <w:rPr>
          <w:rFonts w:cstheme="minorHAnsi"/>
        </w:rPr>
        <w:t>,</w:t>
      </w:r>
      <w:r w:rsidR="00426075">
        <w:rPr>
          <w:rFonts w:cstheme="minorHAnsi"/>
        </w:rPr>
        <w:t xml:space="preserve"> </w:t>
      </w:r>
      <w:r w:rsidR="000170A8">
        <w:rPr>
          <w:rFonts w:cstheme="minorHAnsi"/>
        </w:rPr>
        <w:t>s</w:t>
      </w:r>
      <w:r w:rsidR="000170A8" w:rsidRPr="00426075">
        <w:rPr>
          <w:rFonts w:cstheme="minorHAnsi"/>
        </w:rPr>
        <w:t>u 650 COT programmate</w:t>
      </w:r>
      <w:r w:rsidR="004C1A68">
        <w:rPr>
          <w:rFonts w:cstheme="minorHAnsi"/>
        </w:rPr>
        <w:t>,</w:t>
      </w:r>
      <w:r w:rsidR="000170A8">
        <w:rPr>
          <w:rFonts w:cstheme="minorHAnsi"/>
        </w:rPr>
        <w:t xml:space="preserve"> </w:t>
      </w:r>
      <w:r w:rsidR="004C1A68" w:rsidRPr="00426075">
        <w:rPr>
          <w:rFonts w:cstheme="minorHAnsi"/>
        </w:rPr>
        <w:t>6</w:t>
      </w:r>
      <w:r w:rsidR="004C1A68">
        <w:rPr>
          <w:rFonts w:cstheme="minorHAnsi"/>
        </w:rPr>
        <w:t>4</w:t>
      </w:r>
      <w:r w:rsidR="004C1A68" w:rsidRPr="00426075">
        <w:rPr>
          <w:rFonts w:cstheme="minorHAnsi"/>
        </w:rPr>
        <w:t>2</w:t>
      </w:r>
      <w:r w:rsidR="00426075">
        <w:rPr>
          <w:rFonts w:cstheme="minorHAnsi"/>
        </w:rPr>
        <w:t xml:space="preserve"> </w:t>
      </w:r>
      <w:r w:rsidR="00426075" w:rsidRPr="00426075">
        <w:rPr>
          <w:rFonts w:cstheme="minorHAnsi"/>
        </w:rPr>
        <w:t>risultavano pienamente funzionanti</w:t>
      </w:r>
      <w:r w:rsidR="00426075">
        <w:rPr>
          <w:rFonts w:cstheme="minorHAnsi"/>
        </w:rPr>
        <w:t xml:space="preserve">, di cui </w:t>
      </w:r>
      <w:r w:rsidR="00426075" w:rsidRPr="00426075">
        <w:rPr>
          <w:rFonts w:cstheme="minorHAnsi"/>
        </w:rPr>
        <w:t xml:space="preserve">480 hanno </w:t>
      </w:r>
      <w:r w:rsidR="004C1A68">
        <w:rPr>
          <w:rFonts w:cstheme="minorHAnsi"/>
        </w:rPr>
        <w:t>contribuito</w:t>
      </w:r>
      <w:r w:rsidR="004C1A68" w:rsidRPr="00426075">
        <w:rPr>
          <w:rFonts w:cstheme="minorHAnsi"/>
        </w:rPr>
        <w:t xml:space="preserve"> </w:t>
      </w:r>
      <w:r w:rsidR="00426075" w:rsidRPr="00426075">
        <w:rPr>
          <w:rFonts w:cstheme="minorHAnsi"/>
        </w:rPr>
        <w:t>al raggiungimen</w:t>
      </w:r>
      <w:r w:rsidR="000170A8">
        <w:rPr>
          <w:rFonts w:cstheme="minorHAnsi"/>
        </w:rPr>
        <w:t>t</w:t>
      </w:r>
      <w:r w:rsidR="00426075" w:rsidRPr="00426075">
        <w:rPr>
          <w:rFonts w:cstheme="minorHAnsi"/>
        </w:rPr>
        <w:t xml:space="preserve">o del target </w:t>
      </w:r>
      <w:r w:rsidR="002E431F">
        <w:rPr>
          <w:rFonts w:cstheme="minorHAnsi"/>
        </w:rPr>
        <w:t>europeo</w:t>
      </w:r>
      <w:r w:rsidR="00426075" w:rsidRPr="00426075">
        <w:rPr>
          <w:rFonts w:cstheme="minorHAnsi"/>
        </w:rPr>
        <w:t>.</w:t>
      </w:r>
      <w:r w:rsidR="00426075">
        <w:rPr>
          <w:rFonts w:cstheme="minorHAnsi"/>
        </w:rPr>
        <w:t xml:space="preserve"> </w:t>
      </w:r>
    </w:p>
    <w:p w14:paraId="3DB35B16" w14:textId="6043F5A4" w:rsidR="00166FDA" w:rsidRPr="00C03529" w:rsidRDefault="008A284D" w:rsidP="00641090">
      <w:pPr>
        <w:jc w:val="both"/>
      </w:pPr>
      <w:r w:rsidRPr="00C03529">
        <w:rPr>
          <w:rFonts w:cstheme="minorHAnsi"/>
        </w:rPr>
        <w:t>«</w:t>
      </w:r>
      <w:r w:rsidR="002E431F" w:rsidRPr="00C03529">
        <w:rPr>
          <w:rFonts w:cstheme="minorHAnsi"/>
        </w:rPr>
        <w:t xml:space="preserve">Rispetto </w:t>
      </w:r>
      <w:r w:rsidRPr="00C03529">
        <w:rPr>
          <w:rFonts w:cstheme="minorHAnsi"/>
        </w:rPr>
        <w:t xml:space="preserve">alla fotografia scattata da Agenas </w:t>
      </w:r>
      <w:r w:rsidR="004C1A68" w:rsidRPr="00C03529">
        <w:rPr>
          <w:rFonts w:cstheme="minorHAnsi"/>
        </w:rPr>
        <w:t>cinque</w:t>
      </w:r>
      <w:r w:rsidRPr="00C03529">
        <w:rPr>
          <w:rFonts w:cstheme="minorHAnsi"/>
        </w:rPr>
        <w:t xml:space="preserve"> mesi fa </w:t>
      </w:r>
      <w:r w:rsidR="002E431F" w:rsidRPr="00C03529">
        <w:rPr>
          <w:rFonts w:cstheme="minorHAnsi"/>
        </w:rPr>
        <w:t>– commenta il Presidente –</w:t>
      </w:r>
      <w:r w:rsidR="00166FDA" w:rsidRPr="00C03529">
        <w:rPr>
          <w:rFonts w:cstheme="minorHAnsi"/>
        </w:rPr>
        <w:t xml:space="preserve"> </w:t>
      </w:r>
      <w:r w:rsidR="009E317A" w:rsidRPr="00C03529">
        <w:rPr>
          <w:rFonts w:cstheme="minorHAnsi"/>
        </w:rPr>
        <w:t xml:space="preserve">è verosimile ipotizzare che </w:t>
      </w:r>
      <w:r w:rsidR="004C1A68" w:rsidRPr="00C03529">
        <w:rPr>
          <w:rFonts w:cstheme="minorHAnsi"/>
        </w:rPr>
        <w:t xml:space="preserve">il quadro attuale </w:t>
      </w:r>
      <w:r w:rsidR="009E317A" w:rsidRPr="00C03529">
        <w:rPr>
          <w:rFonts w:cstheme="minorHAnsi"/>
        </w:rPr>
        <w:t xml:space="preserve">sia </w:t>
      </w:r>
      <w:r w:rsidR="004C1A68" w:rsidRPr="00C03529">
        <w:rPr>
          <w:rFonts w:cstheme="minorHAnsi"/>
        </w:rPr>
        <w:t>più incoraggiante</w:t>
      </w:r>
      <w:r w:rsidR="002E431F" w:rsidRPr="00C03529">
        <w:rPr>
          <w:rFonts w:cstheme="minorHAnsi"/>
        </w:rPr>
        <w:t xml:space="preserve">. Tuttavia, </w:t>
      </w:r>
      <w:r w:rsidR="004C1A68" w:rsidRPr="00C03529">
        <w:rPr>
          <w:rFonts w:cstheme="minorHAnsi"/>
        </w:rPr>
        <w:t>l’attuazione</w:t>
      </w:r>
      <w:r w:rsidRPr="00C03529">
        <w:rPr>
          <w:rFonts w:cstheme="minorHAnsi"/>
        </w:rPr>
        <w:t xml:space="preserve"> di CdC e OdC procede </w:t>
      </w:r>
      <w:r w:rsidR="004C1A68" w:rsidRPr="00C03529">
        <w:rPr>
          <w:rFonts w:cstheme="minorHAnsi"/>
        </w:rPr>
        <w:t xml:space="preserve">ancora </w:t>
      </w:r>
      <w:r w:rsidR="009E317A" w:rsidRPr="00C03529">
        <w:rPr>
          <w:rFonts w:cstheme="minorHAnsi"/>
        </w:rPr>
        <w:t>c</w:t>
      </w:r>
      <w:r w:rsidR="002E431F" w:rsidRPr="00C03529">
        <w:rPr>
          <w:rFonts w:cstheme="minorHAnsi"/>
        </w:rPr>
        <w:t>on una lentezza inaccettabile e a velocità troppo diverse tra le Regioni</w:t>
      </w:r>
      <w:r w:rsidR="004C1A68" w:rsidRPr="00C03529">
        <w:rPr>
          <w:rFonts w:cstheme="minorHAnsi"/>
        </w:rPr>
        <w:t xml:space="preserve">. </w:t>
      </w:r>
      <w:r w:rsidR="00166FDA" w:rsidRPr="00C03529">
        <w:rPr>
          <w:rFonts w:cstheme="minorHAnsi"/>
        </w:rPr>
        <w:t>E a</w:t>
      </w:r>
      <w:r w:rsidRPr="00C03529">
        <w:rPr>
          <w:rFonts w:cstheme="minorHAnsi"/>
        </w:rPr>
        <w:t xml:space="preserve"> poco più di un anno dalla scadenza finale del giugno 2026</w:t>
      </w:r>
      <w:r w:rsidR="004C1A68" w:rsidRPr="00C03529">
        <w:rPr>
          <w:rFonts w:cstheme="minorHAnsi"/>
        </w:rPr>
        <w:t xml:space="preserve">, </w:t>
      </w:r>
      <w:r w:rsidR="002E431F" w:rsidRPr="00C03529">
        <w:rPr>
          <w:rFonts w:cstheme="minorHAnsi"/>
        </w:rPr>
        <w:t>alcune sono ancora inchiodate al punto di partenza</w:t>
      </w:r>
      <w:r w:rsidRPr="00C03529">
        <w:t>».</w:t>
      </w:r>
    </w:p>
    <w:p w14:paraId="422CE71A" w14:textId="1C5ED274" w:rsidR="004C1A68" w:rsidRDefault="00E851CE" w:rsidP="00A114BF">
      <w:pPr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FASCICOLO SANITARIO ELETTRONICO</w:t>
      </w:r>
      <w:r w:rsidR="007478BB">
        <w:rPr>
          <w:rFonts w:cstheme="minorHAnsi"/>
          <w:b/>
          <w:bCs/>
        </w:rPr>
        <w:t xml:space="preserve"> (FSE)</w:t>
      </w:r>
      <w:r>
        <w:rPr>
          <w:rFonts w:cstheme="minorHAnsi"/>
        </w:rPr>
        <w:t xml:space="preserve">. </w:t>
      </w:r>
      <w:r w:rsidR="00902050">
        <w:rPr>
          <w:rFonts w:cstheme="minorHAnsi"/>
        </w:rPr>
        <w:t>Il</w:t>
      </w:r>
      <w:r w:rsidR="007478BB">
        <w:rPr>
          <w:rFonts w:cstheme="minorHAnsi"/>
        </w:rPr>
        <w:t xml:space="preserve"> </w:t>
      </w:r>
      <w:r w:rsidRPr="00E851CE">
        <w:rPr>
          <w:rFonts w:cstheme="minorHAnsi"/>
        </w:rPr>
        <w:t>FSE</w:t>
      </w:r>
      <w:r w:rsidR="00F16DA2">
        <w:rPr>
          <w:rFonts w:cstheme="minorHAnsi"/>
        </w:rPr>
        <w:t xml:space="preserve"> 2.0</w:t>
      </w:r>
      <w:r w:rsidR="007478BB">
        <w:rPr>
          <w:rFonts w:cstheme="minorHAnsi"/>
        </w:rPr>
        <w:t xml:space="preserve"> rappresenta </w:t>
      </w:r>
      <w:r w:rsidR="00902050">
        <w:t>il</w:t>
      </w:r>
      <w:r w:rsidR="00902050" w:rsidRPr="00A671D3">
        <w:t xml:space="preserve"> pilastro </w:t>
      </w:r>
      <w:r w:rsidR="00902050">
        <w:t xml:space="preserve">della trasformazione digitale </w:t>
      </w:r>
      <w:r w:rsidRPr="00E851CE">
        <w:rPr>
          <w:rFonts w:cstheme="minorHAnsi"/>
        </w:rPr>
        <w:t xml:space="preserve">del </w:t>
      </w:r>
      <w:r w:rsidR="00E517EF">
        <w:rPr>
          <w:rFonts w:cstheme="minorHAnsi"/>
        </w:rPr>
        <w:t>SSN</w:t>
      </w:r>
      <w:r w:rsidR="00902050">
        <w:rPr>
          <w:rFonts w:cstheme="minorHAnsi"/>
        </w:rPr>
        <w:t xml:space="preserve">: </w:t>
      </w:r>
      <w:r>
        <w:rPr>
          <w:rFonts w:cstheme="minorHAnsi"/>
        </w:rPr>
        <w:t>un investimento</w:t>
      </w:r>
      <w:r w:rsidR="004C1A68">
        <w:rPr>
          <w:rFonts w:cstheme="minorHAnsi"/>
        </w:rPr>
        <w:t xml:space="preserve"> da</w:t>
      </w:r>
      <w:r w:rsidRPr="00E851CE">
        <w:rPr>
          <w:rFonts w:cstheme="minorHAnsi"/>
        </w:rPr>
        <w:t xml:space="preserve"> </w:t>
      </w:r>
      <w:r w:rsidR="00F16DA2">
        <w:rPr>
          <w:rFonts w:cstheme="minorHAnsi"/>
        </w:rPr>
        <w:t xml:space="preserve">€ </w:t>
      </w:r>
      <w:r w:rsidR="00435A75">
        <w:rPr>
          <w:rFonts w:cstheme="minorHAnsi"/>
        </w:rPr>
        <w:t xml:space="preserve">1,38 miliardi </w:t>
      </w:r>
      <w:r>
        <w:rPr>
          <w:rFonts w:cstheme="minorHAnsi"/>
        </w:rPr>
        <w:t>che</w:t>
      </w:r>
      <w:r w:rsidRPr="00E851CE">
        <w:rPr>
          <w:rFonts w:cstheme="minorHAnsi"/>
        </w:rPr>
        <w:t xml:space="preserve"> </w:t>
      </w:r>
      <w:r w:rsidR="004C1A68">
        <w:rPr>
          <w:rFonts w:cstheme="minorHAnsi"/>
        </w:rPr>
        <w:t xml:space="preserve">punta a creare un </w:t>
      </w:r>
      <w:r w:rsidRPr="00E851CE">
        <w:rPr>
          <w:rFonts w:cstheme="minorHAnsi"/>
        </w:rPr>
        <w:t xml:space="preserve">ecosistema digitale </w:t>
      </w:r>
      <w:r w:rsidR="004C1A68">
        <w:rPr>
          <w:rFonts w:cstheme="minorHAnsi"/>
        </w:rPr>
        <w:t xml:space="preserve">in grado di garantire </w:t>
      </w:r>
      <w:r w:rsidRPr="00E851CE">
        <w:rPr>
          <w:rFonts w:cstheme="minorHAnsi"/>
        </w:rPr>
        <w:t xml:space="preserve">accesso, condivisione e interoperabilità dei dati sanitari </w:t>
      </w:r>
      <w:r w:rsidR="004C1A68">
        <w:rPr>
          <w:rFonts w:cstheme="minorHAnsi"/>
        </w:rPr>
        <w:t>su tutto il territorio nazionale</w:t>
      </w:r>
      <w:r w:rsidRPr="00E851CE">
        <w:rPr>
          <w:rFonts w:cstheme="minorHAnsi"/>
        </w:rPr>
        <w:t xml:space="preserve">. </w:t>
      </w:r>
      <w:r w:rsidR="00902050">
        <w:rPr>
          <w:rFonts w:cstheme="minorHAnsi"/>
        </w:rPr>
        <w:t>Tuttavia, s</w:t>
      </w:r>
      <w:r>
        <w:rPr>
          <w:rFonts w:cstheme="minorHAnsi"/>
        </w:rPr>
        <w:t xml:space="preserve">econdo </w:t>
      </w:r>
      <w:r w:rsidRPr="00E851CE">
        <w:rPr>
          <w:rFonts w:cstheme="minorHAnsi"/>
        </w:rPr>
        <w:t xml:space="preserve">la </w:t>
      </w:r>
      <w:hyperlink r:id="rId11" w:history="1">
        <w:r w:rsidRPr="00E851CE">
          <w:rPr>
            <w:rStyle w:val="Collegamentoipertestuale"/>
            <w:rFonts w:cstheme="minorHAnsi"/>
          </w:rPr>
          <w:t>Corte dei Conti</w:t>
        </w:r>
      </w:hyperlink>
      <w:r w:rsidRPr="00E851CE">
        <w:rPr>
          <w:rFonts w:cstheme="minorHAnsi"/>
        </w:rPr>
        <w:t xml:space="preserve">, il cronoprogramma ha già </w:t>
      </w:r>
      <w:r w:rsidR="004C1A68" w:rsidRPr="00E851CE">
        <w:rPr>
          <w:rFonts w:cstheme="minorHAnsi"/>
        </w:rPr>
        <w:t>sub</w:t>
      </w:r>
      <w:r w:rsidR="004C1A68">
        <w:rPr>
          <w:rFonts w:cstheme="minorHAnsi"/>
        </w:rPr>
        <w:t>ì</w:t>
      </w:r>
      <w:r w:rsidR="004C1A68" w:rsidRPr="00E851CE">
        <w:rPr>
          <w:rFonts w:cstheme="minorHAnsi"/>
        </w:rPr>
        <w:t xml:space="preserve">to </w:t>
      </w:r>
      <w:r w:rsidR="004C1A68">
        <w:rPr>
          <w:rFonts w:cstheme="minorHAnsi"/>
        </w:rPr>
        <w:t>ritardi</w:t>
      </w:r>
      <w:r w:rsidRPr="00E851CE">
        <w:rPr>
          <w:rFonts w:cstheme="minorHAnsi"/>
        </w:rPr>
        <w:t xml:space="preserve">: la milestone sulla piena interoperabilità nazionale, </w:t>
      </w:r>
      <w:r w:rsidR="004C1A68">
        <w:rPr>
          <w:rFonts w:cstheme="minorHAnsi"/>
        </w:rPr>
        <w:t xml:space="preserve">inizialmente </w:t>
      </w:r>
      <w:r w:rsidRPr="00E851CE">
        <w:rPr>
          <w:rFonts w:cstheme="minorHAnsi"/>
        </w:rPr>
        <w:t xml:space="preserve">prevista per giugno 2024, è </w:t>
      </w:r>
      <w:r w:rsidR="004C1A68">
        <w:rPr>
          <w:rFonts w:cstheme="minorHAnsi"/>
        </w:rPr>
        <w:t>stata posticipata</w:t>
      </w:r>
      <w:r w:rsidR="004C1A68" w:rsidRPr="00E851CE">
        <w:rPr>
          <w:rFonts w:cstheme="minorHAnsi"/>
        </w:rPr>
        <w:t xml:space="preserve"> </w:t>
      </w:r>
      <w:r w:rsidRPr="00E851CE">
        <w:rPr>
          <w:rFonts w:cstheme="minorHAnsi"/>
        </w:rPr>
        <w:t xml:space="preserve">a dicembre 2024, mentre la digitalizzazione nativa dei documenti è attesa per giugno 2025. </w:t>
      </w:r>
      <w:r w:rsidR="000875D1" w:rsidRPr="00897B0F">
        <w:rPr>
          <w:rFonts w:cstheme="minorHAnsi"/>
        </w:rPr>
        <w:t>«</w:t>
      </w:r>
      <w:r w:rsidR="004C1A68">
        <w:rPr>
          <w:rFonts w:cstheme="minorHAnsi"/>
        </w:rPr>
        <w:t>S</w:t>
      </w:r>
      <w:r w:rsidR="00277F16">
        <w:rPr>
          <w:rFonts w:cstheme="minorHAnsi"/>
        </w:rPr>
        <w:t xml:space="preserve">enza la piena operatività del FSE </w:t>
      </w:r>
      <w:r w:rsidR="004C1A68">
        <w:rPr>
          <w:rFonts w:cstheme="minorHAnsi"/>
        </w:rPr>
        <w:t xml:space="preserve">su tutto il territorio nazionale </w:t>
      </w:r>
      <w:r w:rsidR="00277F16">
        <w:rPr>
          <w:rFonts w:cstheme="minorHAnsi"/>
        </w:rPr>
        <w:t xml:space="preserve">e </w:t>
      </w:r>
      <w:r w:rsidR="002E431F">
        <w:rPr>
          <w:rFonts w:cstheme="minorHAnsi"/>
        </w:rPr>
        <w:t>senza il</w:t>
      </w:r>
      <w:r w:rsidR="004C1A68">
        <w:rPr>
          <w:rFonts w:cstheme="minorHAnsi"/>
        </w:rPr>
        <w:t xml:space="preserve"> </w:t>
      </w:r>
      <w:r w:rsidR="00277F16">
        <w:rPr>
          <w:rFonts w:cstheme="minorHAnsi"/>
        </w:rPr>
        <w:t>consenso dei cittadini alla consultazione dei documenti</w:t>
      </w:r>
      <w:r w:rsidR="004C1A68">
        <w:rPr>
          <w:rFonts w:cstheme="minorHAnsi"/>
        </w:rPr>
        <w:t xml:space="preserve"> </w:t>
      </w:r>
      <w:r w:rsidR="004C1A68" w:rsidRPr="00641090">
        <w:rPr>
          <w:rFonts w:cstheme="minorHAnsi"/>
        </w:rPr>
        <w:t xml:space="preserve">– </w:t>
      </w:r>
      <w:r w:rsidR="004C1A68">
        <w:rPr>
          <w:rFonts w:cstheme="minorHAnsi"/>
        </w:rPr>
        <w:t>avverte</w:t>
      </w:r>
      <w:r w:rsidR="004C1A68" w:rsidRPr="00641090">
        <w:rPr>
          <w:rFonts w:cstheme="minorHAnsi"/>
        </w:rPr>
        <w:t xml:space="preserve"> </w:t>
      </w:r>
      <w:r w:rsidR="004C1A68">
        <w:rPr>
          <w:rFonts w:cstheme="minorHAnsi"/>
        </w:rPr>
        <w:t xml:space="preserve">Cartabellotta </w:t>
      </w:r>
      <w:r w:rsidR="004C1A68" w:rsidRPr="00641090">
        <w:rPr>
          <w:rFonts w:cstheme="minorHAnsi"/>
        </w:rPr>
        <w:t>–</w:t>
      </w:r>
      <w:r w:rsidR="00C03529">
        <w:rPr>
          <w:rFonts w:cstheme="minorHAnsi"/>
        </w:rPr>
        <w:t xml:space="preserve"> </w:t>
      </w:r>
      <w:r w:rsidR="004C1A68">
        <w:rPr>
          <w:rFonts w:cstheme="minorHAnsi"/>
        </w:rPr>
        <w:t xml:space="preserve"> </w:t>
      </w:r>
      <w:r w:rsidR="002E431F">
        <w:rPr>
          <w:rFonts w:cstheme="minorHAnsi"/>
        </w:rPr>
        <w:t xml:space="preserve">rischiamo di centrare i target solo sulla carta per </w:t>
      </w:r>
      <w:r w:rsidR="009E317A">
        <w:rPr>
          <w:rFonts w:cstheme="minorHAnsi"/>
        </w:rPr>
        <w:t>incassare</w:t>
      </w:r>
      <w:r w:rsidR="002E431F">
        <w:rPr>
          <w:rFonts w:cstheme="minorHAnsi"/>
        </w:rPr>
        <w:t xml:space="preserve"> i fondi</w:t>
      </w:r>
      <w:r w:rsidR="007478BB">
        <w:rPr>
          <w:rFonts w:cstheme="minorHAnsi"/>
        </w:rPr>
        <w:t>, ma</w:t>
      </w:r>
      <w:r w:rsidR="002E431F">
        <w:rPr>
          <w:rFonts w:cstheme="minorHAnsi"/>
        </w:rPr>
        <w:t xml:space="preserve"> di lasciare</w:t>
      </w:r>
      <w:r w:rsidR="007478BB">
        <w:rPr>
          <w:rFonts w:cstheme="minorHAnsi"/>
        </w:rPr>
        <w:t xml:space="preserve"> </w:t>
      </w:r>
      <w:r w:rsidRPr="00E851CE">
        <w:rPr>
          <w:rFonts w:cstheme="minorHAnsi"/>
        </w:rPr>
        <w:t xml:space="preserve">la digitalizzazione </w:t>
      </w:r>
      <w:r w:rsidR="007478BB">
        <w:rPr>
          <w:rFonts w:cstheme="minorHAnsi"/>
        </w:rPr>
        <w:t xml:space="preserve">del SSN </w:t>
      </w:r>
      <w:r w:rsidR="002E431F">
        <w:rPr>
          <w:rFonts w:cstheme="minorHAnsi"/>
        </w:rPr>
        <w:t>incompiuta, frammentata e inefficace</w:t>
      </w:r>
      <w:r w:rsidR="000875D1" w:rsidRPr="00641090">
        <w:rPr>
          <w:rFonts w:cstheme="minorHAnsi"/>
        </w:rPr>
        <w:t>».</w:t>
      </w:r>
      <w:r w:rsidR="00A114BF">
        <w:rPr>
          <w:rFonts w:cstheme="minorHAnsi"/>
        </w:rPr>
        <w:t xml:space="preserve"> </w:t>
      </w:r>
    </w:p>
    <w:p w14:paraId="66F3E743" w14:textId="66B77005" w:rsidR="004C1A68" w:rsidRDefault="00894C0F" w:rsidP="004C1A68">
      <w:pPr>
        <w:jc w:val="both"/>
        <w:rPr>
          <w:rFonts w:cstheme="minorHAnsi"/>
        </w:rPr>
      </w:pPr>
      <w:r w:rsidRPr="00894C0F">
        <w:rPr>
          <w:rFonts w:cstheme="minorHAnsi"/>
          <w:b/>
          <w:bCs/>
        </w:rPr>
        <w:t>Completezza del FSE</w:t>
      </w:r>
      <w:r>
        <w:rPr>
          <w:rFonts w:cstheme="minorHAnsi"/>
        </w:rPr>
        <w:t xml:space="preserve">. </w:t>
      </w:r>
      <w:r w:rsidR="007478BB">
        <w:rPr>
          <w:rFonts w:cstheme="minorHAnsi"/>
        </w:rPr>
        <w:t>A</w:t>
      </w:r>
      <w:r w:rsidR="00CB37BC" w:rsidRPr="000910E1">
        <w:rPr>
          <w:rFonts w:cstheme="minorHAnsi"/>
        </w:rPr>
        <w:t xml:space="preserve">l </w:t>
      </w:r>
      <w:r w:rsidR="00CB37BC">
        <w:rPr>
          <w:rFonts w:cstheme="minorHAnsi"/>
        </w:rPr>
        <w:t>30 novembre</w:t>
      </w:r>
      <w:r w:rsidR="00CB37BC" w:rsidRPr="000910E1">
        <w:rPr>
          <w:rFonts w:cstheme="minorHAnsi"/>
        </w:rPr>
        <w:t xml:space="preserve"> 2024</w:t>
      </w:r>
      <w:r w:rsidR="004C1A68">
        <w:rPr>
          <w:rFonts w:cstheme="minorHAnsi"/>
        </w:rPr>
        <w:t>,</w:t>
      </w:r>
      <w:r w:rsidR="00CB37BC" w:rsidRPr="000910E1">
        <w:rPr>
          <w:rFonts w:cstheme="minorHAnsi"/>
        </w:rPr>
        <w:t xml:space="preserve"> </w:t>
      </w:r>
      <w:r w:rsidR="00CB37BC">
        <w:rPr>
          <w:rFonts w:cstheme="minorHAnsi"/>
        </w:rPr>
        <w:t xml:space="preserve">secondo i dati </w:t>
      </w:r>
      <w:r w:rsidR="00CB37BC" w:rsidRPr="000910E1">
        <w:rPr>
          <w:rFonts w:cstheme="minorHAnsi"/>
        </w:rPr>
        <w:t xml:space="preserve">elaborati dal </w:t>
      </w:r>
      <w:hyperlink r:id="rId12" w:history="1">
        <w:r w:rsidR="00CB37BC" w:rsidRPr="000910E1">
          <w:rPr>
            <w:rStyle w:val="Collegamentoipertestuale"/>
            <w:rFonts w:cstheme="minorHAnsi"/>
          </w:rPr>
          <w:t>portale Fascicolo Sanitario Elettronico 2.0</w:t>
        </w:r>
      </w:hyperlink>
      <w:r w:rsidR="004C1A68">
        <w:rPr>
          <w:rFonts w:cstheme="minorHAnsi"/>
        </w:rPr>
        <w:t xml:space="preserve">, </w:t>
      </w:r>
      <w:r w:rsidR="000131FB" w:rsidRPr="000131FB">
        <w:rPr>
          <w:rFonts w:cstheme="minorHAnsi"/>
        </w:rPr>
        <w:t>n</w:t>
      </w:r>
      <w:r w:rsidR="005A6A75">
        <w:rPr>
          <w:rFonts w:cstheme="minorHAnsi"/>
        </w:rPr>
        <w:t xml:space="preserve">essuna </w:t>
      </w:r>
      <w:r w:rsidR="000131FB" w:rsidRPr="000131FB">
        <w:rPr>
          <w:rFonts w:cstheme="minorHAnsi"/>
        </w:rPr>
        <w:t>Region</w:t>
      </w:r>
      <w:r w:rsidR="005A6A75">
        <w:rPr>
          <w:rFonts w:cstheme="minorHAnsi"/>
        </w:rPr>
        <w:t>e</w:t>
      </w:r>
      <w:r w:rsidR="000131FB" w:rsidRPr="000131FB">
        <w:rPr>
          <w:rFonts w:cstheme="minorHAnsi"/>
        </w:rPr>
        <w:t xml:space="preserve"> rend</w:t>
      </w:r>
      <w:r w:rsidR="005A6A75">
        <w:rPr>
          <w:rFonts w:cstheme="minorHAnsi"/>
        </w:rPr>
        <w:t xml:space="preserve">e </w:t>
      </w:r>
      <w:r w:rsidR="000131FB" w:rsidRPr="000131FB">
        <w:rPr>
          <w:rFonts w:cstheme="minorHAnsi"/>
        </w:rPr>
        <w:t>disponibili tutt</w:t>
      </w:r>
      <w:r w:rsidR="004C1A68">
        <w:rPr>
          <w:rFonts w:cstheme="minorHAnsi"/>
        </w:rPr>
        <w:t>e le</w:t>
      </w:r>
      <w:r w:rsidR="000131FB" w:rsidRPr="000910E1">
        <w:rPr>
          <w:rFonts w:cstheme="minorHAnsi"/>
        </w:rPr>
        <w:t xml:space="preserve"> </w:t>
      </w:r>
      <w:r w:rsidR="00A114BF">
        <w:rPr>
          <w:rFonts w:cstheme="minorHAnsi"/>
        </w:rPr>
        <w:t xml:space="preserve">16 </w:t>
      </w:r>
      <w:r w:rsidR="004C1A68">
        <w:rPr>
          <w:rFonts w:cstheme="minorHAnsi"/>
        </w:rPr>
        <w:t xml:space="preserve">tipologie di </w:t>
      </w:r>
      <w:r w:rsidR="000131FB" w:rsidRPr="000910E1">
        <w:rPr>
          <w:rFonts w:cstheme="minorHAnsi"/>
        </w:rPr>
        <w:t>documenti</w:t>
      </w:r>
      <w:r w:rsidR="000131FB" w:rsidRPr="000131FB">
        <w:rPr>
          <w:rFonts w:cstheme="minorHAnsi"/>
        </w:rPr>
        <w:t xml:space="preserve"> </w:t>
      </w:r>
      <w:r w:rsidR="004C1A68">
        <w:rPr>
          <w:rFonts w:cstheme="minorHAnsi"/>
        </w:rPr>
        <w:t xml:space="preserve">previste </w:t>
      </w:r>
      <w:r w:rsidR="007478BB">
        <w:rPr>
          <w:rFonts w:cstheme="minorHAnsi"/>
        </w:rPr>
        <w:t xml:space="preserve">dal DM </w:t>
      </w:r>
      <w:r w:rsidR="007478BB" w:rsidRPr="000131FB">
        <w:rPr>
          <w:rFonts w:cstheme="minorHAnsi"/>
        </w:rPr>
        <w:t>7 settembre 2023</w:t>
      </w:r>
      <w:r w:rsidR="000131FB" w:rsidRPr="000131FB">
        <w:rPr>
          <w:rFonts w:cstheme="minorHAnsi"/>
        </w:rPr>
        <w:t>.</w:t>
      </w:r>
      <w:r w:rsidR="000910E1">
        <w:rPr>
          <w:rFonts w:cstheme="minorHAnsi"/>
        </w:rPr>
        <w:t xml:space="preserve"> </w:t>
      </w:r>
      <w:r w:rsidR="00CD15A8">
        <w:rPr>
          <w:rFonts w:cstheme="minorHAnsi"/>
        </w:rPr>
        <w:t xml:space="preserve">Il </w:t>
      </w:r>
      <w:r w:rsidR="004C1A68">
        <w:rPr>
          <w:rFonts w:cstheme="minorHAnsi"/>
        </w:rPr>
        <w:t>grado</w:t>
      </w:r>
      <w:r w:rsidR="00A114BF">
        <w:rPr>
          <w:rFonts w:cstheme="minorHAnsi"/>
        </w:rPr>
        <w:t xml:space="preserve"> </w:t>
      </w:r>
      <w:r w:rsidR="00A114BF" w:rsidRPr="000131FB">
        <w:rPr>
          <w:rFonts w:cstheme="minorHAnsi"/>
        </w:rPr>
        <w:t>di completezza</w:t>
      </w:r>
      <w:r w:rsidR="00A114BF">
        <w:rPr>
          <w:rFonts w:cstheme="minorHAnsi"/>
        </w:rPr>
        <w:t xml:space="preserve"> </w:t>
      </w:r>
      <w:r w:rsidR="004C1A68">
        <w:rPr>
          <w:rFonts w:cstheme="minorHAnsi"/>
        </w:rPr>
        <w:t xml:space="preserve">varia sensibilmente tra le Regioni: si </w:t>
      </w:r>
      <w:r w:rsidR="002E431F">
        <w:rPr>
          <w:rFonts w:cstheme="minorHAnsi"/>
        </w:rPr>
        <w:t xml:space="preserve">va </w:t>
      </w:r>
      <w:r w:rsidR="00A114BF" w:rsidRPr="000131FB">
        <w:rPr>
          <w:rFonts w:cstheme="minorHAnsi"/>
        </w:rPr>
        <w:t xml:space="preserve">dal 94% </w:t>
      </w:r>
      <w:r w:rsidR="002E431F">
        <w:rPr>
          <w:rFonts w:cstheme="minorHAnsi"/>
        </w:rPr>
        <w:t>di</w:t>
      </w:r>
      <w:r w:rsidR="004C1A68">
        <w:rPr>
          <w:rFonts w:cstheme="minorHAnsi"/>
        </w:rPr>
        <w:t xml:space="preserve"> </w:t>
      </w:r>
      <w:r w:rsidR="00A114BF">
        <w:rPr>
          <w:rFonts w:cstheme="minorHAnsi"/>
        </w:rPr>
        <w:t>Lazio, Piemonte e Sardegna</w:t>
      </w:r>
      <w:r w:rsidR="00A114BF" w:rsidRPr="000131FB">
        <w:rPr>
          <w:rFonts w:cstheme="minorHAnsi"/>
        </w:rPr>
        <w:t xml:space="preserve"> al 63% di Marche e Puglia (</w:t>
      </w:r>
      <w:r w:rsidR="00A114BF">
        <w:rPr>
          <w:rFonts w:cstheme="minorHAnsi"/>
          <w:highlight w:val="yellow"/>
        </w:rPr>
        <w:t>F</w:t>
      </w:r>
      <w:r w:rsidR="00A114BF" w:rsidRPr="000131FB">
        <w:rPr>
          <w:rFonts w:cstheme="minorHAnsi"/>
          <w:highlight w:val="yellow"/>
        </w:rPr>
        <w:t xml:space="preserve">igura </w:t>
      </w:r>
      <w:r w:rsidR="00A114BF">
        <w:rPr>
          <w:rFonts w:cstheme="minorHAnsi"/>
          <w:highlight w:val="yellow"/>
        </w:rPr>
        <w:t>6</w:t>
      </w:r>
      <w:r w:rsidR="00A114BF" w:rsidRPr="000131FB">
        <w:rPr>
          <w:rFonts w:cstheme="minorHAnsi"/>
        </w:rPr>
        <w:t xml:space="preserve">). </w:t>
      </w:r>
    </w:p>
    <w:p w14:paraId="71F89AE3" w14:textId="732ED2FB" w:rsidR="002E431F" w:rsidRPr="00902050" w:rsidRDefault="00894C0F" w:rsidP="00A114BF">
      <w:pPr>
        <w:jc w:val="both"/>
      </w:pPr>
      <w:r w:rsidRPr="002F17FD">
        <w:rPr>
          <w:b/>
        </w:rPr>
        <w:t>Consenso alla consultazione.</w:t>
      </w:r>
      <w:r w:rsidRPr="002F17FD">
        <w:t xml:space="preserve"> Al 3</w:t>
      </w:r>
      <w:r>
        <w:t xml:space="preserve">0 novembre </w:t>
      </w:r>
      <w:r w:rsidRPr="00B15EC5">
        <w:t xml:space="preserve">2024 (al 31 </w:t>
      </w:r>
      <w:r>
        <w:t>ottobre</w:t>
      </w:r>
      <w:r w:rsidRPr="00B15EC5">
        <w:t xml:space="preserve"> 2024</w:t>
      </w:r>
      <w:r w:rsidR="00E517EF" w:rsidRPr="00E517EF">
        <w:t xml:space="preserve"> </w:t>
      </w:r>
      <w:r w:rsidR="00E517EF" w:rsidRPr="00B15EC5">
        <w:t xml:space="preserve">per </w:t>
      </w:r>
      <w:r w:rsidR="00E517EF">
        <w:t>le Marche</w:t>
      </w:r>
      <w:r w:rsidRPr="00B15EC5">
        <w:t xml:space="preserve">), </w:t>
      </w:r>
      <w:r>
        <w:t xml:space="preserve">solo </w:t>
      </w:r>
      <w:r w:rsidRPr="00B15EC5">
        <w:t xml:space="preserve">il </w:t>
      </w:r>
      <w:r w:rsidRPr="002F17FD">
        <w:t>4</w:t>
      </w:r>
      <w:r>
        <w:t>2</w:t>
      </w:r>
      <w:r w:rsidRPr="002F17FD">
        <w:t>% dei cittadini ha espresso il consenso alla consultazione de</w:t>
      </w:r>
      <w:r w:rsidR="00277F16">
        <w:t xml:space="preserve">l FSE </w:t>
      </w:r>
      <w:r w:rsidRPr="002F17FD">
        <w:t>da parte di medici e operatori del SSN</w:t>
      </w:r>
      <w:r w:rsidR="00902050">
        <w:t xml:space="preserve">, con </w:t>
      </w:r>
      <w:r w:rsidR="00E517EF">
        <w:t xml:space="preserve">forti disomogeneità </w:t>
      </w:r>
      <w:r w:rsidR="00E517EF" w:rsidRPr="002F17FD">
        <w:t>regional</w:t>
      </w:r>
      <w:r w:rsidR="00E517EF">
        <w:t>i</w:t>
      </w:r>
      <w:r w:rsidRPr="002F17FD">
        <w:t>: dall</w:t>
      </w:r>
      <w:r>
        <w:t>’</w:t>
      </w:r>
      <w:r w:rsidRPr="002F17FD">
        <w:t xml:space="preserve">1% </w:t>
      </w:r>
      <w:r>
        <w:t>in Abruzzo, Calabria,</w:t>
      </w:r>
      <w:r w:rsidRPr="002F17FD">
        <w:t xml:space="preserve"> Campania</w:t>
      </w:r>
      <w:r>
        <w:t xml:space="preserve"> e Molise</w:t>
      </w:r>
      <w:r w:rsidRPr="002F17FD">
        <w:t xml:space="preserve"> all’8</w:t>
      </w:r>
      <w:r>
        <w:t>9</w:t>
      </w:r>
      <w:r w:rsidRPr="002F17FD">
        <w:t xml:space="preserve">% in Emilia-Romagna. Tra le </w:t>
      </w:r>
      <w:r>
        <w:t>R</w:t>
      </w:r>
      <w:r w:rsidRPr="002F17FD">
        <w:t>egioni del Mezzogiorno, solo la Puglia</w:t>
      </w:r>
      <w:r>
        <w:t xml:space="preserve"> </w:t>
      </w:r>
      <w:r w:rsidRPr="002F17FD">
        <w:t>supera la media nazionale</w:t>
      </w:r>
      <w:r w:rsidR="000D28D8">
        <w:t xml:space="preserve"> </w:t>
      </w:r>
      <w:r w:rsidR="002E431F">
        <w:t>(</w:t>
      </w:r>
      <w:r w:rsidR="000D28D8">
        <w:t>42%</w:t>
      </w:r>
      <w:r w:rsidR="002E431F">
        <w:t>)</w:t>
      </w:r>
      <w:r w:rsidR="00E517EF">
        <w:t xml:space="preserve"> con un tasso di adesione del 71</w:t>
      </w:r>
      <w:r w:rsidR="00E517EF" w:rsidRPr="002F17FD">
        <w:t xml:space="preserve">% </w:t>
      </w:r>
      <w:r w:rsidRPr="002F17FD">
        <w:t>(</w:t>
      </w:r>
      <w:r w:rsidR="00E517EF">
        <w:rPr>
          <w:highlight w:val="yellow"/>
        </w:rPr>
        <w:t>F</w:t>
      </w:r>
      <w:r w:rsidRPr="002F17FD">
        <w:rPr>
          <w:highlight w:val="yellow"/>
        </w:rPr>
        <w:t>igura</w:t>
      </w:r>
      <w:r w:rsidR="00902050">
        <w:rPr>
          <w:highlight w:val="yellow"/>
        </w:rPr>
        <w:t xml:space="preserve"> </w:t>
      </w:r>
      <w:r>
        <w:rPr>
          <w:highlight w:val="yellow"/>
        </w:rPr>
        <w:t>7</w:t>
      </w:r>
      <w:r w:rsidRPr="002F17FD">
        <w:t>).</w:t>
      </w:r>
      <w:r>
        <w:t xml:space="preserve"> </w:t>
      </w:r>
      <w:r w:rsidRPr="00B66016">
        <w:t>«</w:t>
      </w:r>
      <w:r>
        <w:t xml:space="preserve">La </w:t>
      </w:r>
      <w:r w:rsidR="002E431F">
        <w:t xml:space="preserve">scarsa adesione </w:t>
      </w:r>
      <w:r>
        <w:t xml:space="preserve">da parte dei cittadini – spiega il Presidente – soprattutto nelle Regioni del Mezzogiorno, </w:t>
      </w:r>
      <w:r w:rsidR="00277F16">
        <w:t xml:space="preserve">è un segnale </w:t>
      </w:r>
      <w:r w:rsidR="00E517EF">
        <w:t xml:space="preserve">preoccupante </w:t>
      </w:r>
      <w:r w:rsidR="00277F16">
        <w:t xml:space="preserve">di sfiducia </w:t>
      </w:r>
      <w:r w:rsidR="00E517EF">
        <w:t>nella</w:t>
      </w:r>
      <w:r w:rsidR="00E517EF" w:rsidRPr="00EB218E">
        <w:t xml:space="preserve"> </w:t>
      </w:r>
      <w:r w:rsidRPr="00EB218E">
        <w:t>sicurezza dei dati personali e</w:t>
      </w:r>
      <w:r w:rsidR="00E517EF">
        <w:t xml:space="preserve"> </w:t>
      </w:r>
      <w:r w:rsidR="002E431F">
        <w:t>ne</w:t>
      </w:r>
      <w:r w:rsidR="002E431F" w:rsidRPr="00EB218E">
        <w:t>ll</w:t>
      </w:r>
      <w:r w:rsidR="002E431F">
        <w:t xml:space="preserve">a reale </w:t>
      </w:r>
      <w:r w:rsidR="002E431F" w:rsidRPr="00EB218E">
        <w:t xml:space="preserve">utilità </w:t>
      </w:r>
      <w:r w:rsidRPr="00EB218E">
        <w:t xml:space="preserve">del </w:t>
      </w:r>
      <w:r>
        <w:t>FSE</w:t>
      </w:r>
      <w:r w:rsidRPr="00B66016">
        <w:t>».</w:t>
      </w:r>
    </w:p>
    <w:p w14:paraId="6A85A54D" w14:textId="7E6B507B" w:rsidR="002E431F" w:rsidRPr="00902050" w:rsidRDefault="00AE2D5E" w:rsidP="002E431F">
      <w:pPr>
        <w:jc w:val="both"/>
      </w:pPr>
      <w:r w:rsidRPr="004F5602">
        <w:rPr>
          <w:rFonts w:cstheme="minorHAnsi"/>
        </w:rPr>
        <w:t>«</w:t>
      </w:r>
      <w:r>
        <w:rPr>
          <w:rFonts w:cstheme="minorHAnsi"/>
        </w:rPr>
        <w:t xml:space="preserve">A poco più di un anno dalla rendicontazione finale </w:t>
      </w:r>
      <w:r w:rsidR="008A284D">
        <w:rPr>
          <w:rFonts w:cstheme="minorHAnsi"/>
        </w:rPr>
        <w:t xml:space="preserve">della Missione Salute del PNRR </w:t>
      </w:r>
      <w:r w:rsidRPr="004F5602">
        <w:rPr>
          <w:rFonts w:cstheme="minorHAnsi"/>
        </w:rPr>
        <w:t xml:space="preserve">– </w:t>
      </w:r>
      <w:r>
        <w:rPr>
          <w:rFonts w:cstheme="minorHAnsi"/>
        </w:rPr>
        <w:t>conclude</w:t>
      </w:r>
      <w:r w:rsidRPr="004F5602">
        <w:rPr>
          <w:rFonts w:cstheme="minorHAnsi"/>
        </w:rPr>
        <w:t xml:space="preserve"> Cartabellotta –</w:t>
      </w:r>
      <w:r>
        <w:rPr>
          <w:rFonts w:cstheme="minorHAnsi"/>
        </w:rPr>
        <w:t xml:space="preserve"> </w:t>
      </w:r>
      <w:r w:rsidR="00E517EF">
        <w:rPr>
          <w:rFonts w:cstheme="minorHAnsi"/>
        </w:rPr>
        <w:t>l</w:t>
      </w:r>
      <w:r w:rsidR="00EB1B36">
        <w:rPr>
          <w:rFonts w:cstheme="minorHAnsi"/>
        </w:rPr>
        <w:t>’</w:t>
      </w:r>
      <w:r w:rsidR="008A284D">
        <w:rPr>
          <w:rFonts w:cstheme="minorHAnsi"/>
        </w:rPr>
        <w:t>avanzamento di C</w:t>
      </w:r>
      <w:r w:rsidR="00CD15A8">
        <w:rPr>
          <w:rFonts w:cstheme="minorHAnsi"/>
        </w:rPr>
        <w:t>ase e Ospedali di Comunità</w:t>
      </w:r>
      <w:r w:rsidR="008A284D">
        <w:rPr>
          <w:rFonts w:cstheme="minorHAnsi"/>
        </w:rPr>
        <w:t xml:space="preserve"> procede </w:t>
      </w:r>
      <w:r w:rsidR="00E517EF">
        <w:rPr>
          <w:rFonts w:cstheme="minorHAnsi"/>
        </w:rPr>
        <w:t>ancora troppo lentamente</w:t>
      </w:r>
      <w:r w:rsidR="008A284D">
        <w:rPr>
          <w:rFonts w:cstheme="minorHAnsi"/>
        </w:rPr>
        <w:t xml:space="preserve"> e con velocità </w:t>
      </w:r>
      <w:r w:rsidR="00E517EF">
        <w:rPr>
          <w:rFonts w:cstheme="minorHAnsi"/>
        </w:rPr>
        <w:t xml:space="preserve">profondamente </w:t>
      </w:r>
      <w:r w:rsidR="008A284D">
        <w:rPr>
          <w:rFonts w:cstheme="minorHAnsi"/>
        </w:rPr>
        <w:t>diverse tra le Regioni</w:t>
      </w:r>
      <w:r w:rsidR="00277F16">
        <w:rPr>
          <w:rFonts w:cstheme="minorHAnsi"/>
        </w:rPr>
        <w:t xml:space="preserve">. </w:t>
      </w:r>
      <w:r w:rsidR="008A284D">
        <w:rPr>
          <w:rFonts w:cstheme="minorHAnsi"/>
        </w:rPr>
        <w:t xml:space="preserve">Ma </w:t>
      </w:r>
      <w:r w:rsidR="00EB1B36">
        <w:rPr>
          <w:rFonts w:cstheme="minorHAnsi"/>
        </w:rPr>
        <w:t xml:space="preserve">il problema principale è </w:t>
      </w:r>
      <w:r w:rsidR="008A284D">
        <w:rPr>
          <w:rFonts w:cstheme="minorHAnsi"/>
        </w:rPr>
        <w:t xml:space="preserve">che, </w:t>
      </w:r>
      <w:r w:rsidR="00EB1B36">
        <w:rPr>
          <w:rFonts w:cstheme="minorHAnsi"/>
        </w:rPr>
        <w:t>oltre ai ritardi infrastrutturali</w:t>
      </w:r>
      <w:r w:rsidR="008A284D">
        <w:rPr>
          <w:rFonts w:cstheme="minorHAnsi"/>
        </w:rPr>
        <w:t xml:space="preserve">, il “pieno funzionamento” delle strutture </w:t>
      </w:r>
      <w:r w:rsidR="00E517EF">
        <w:t>–</w:t>
      </w:r>
      <w:r w:rsidR="008A284D">
        <w:rPr>
          <w:rFonts w:cstheme="minorHAnsi"/>
        </w:rPr>
        <w:t xml:space="preserve"> requisito indispensabile per la rendicontazione finale </w:t>
      </w:r>
      <w:r w:rsidR="00E517EF">
        <w:t>–</w:t>
      </w:r>
      <w:r w:rsidR="008A284D">
        <w:rPr>
          <w:rFonts w:cstheme="minorHAnsi"/>
        </w:rPr>
        <w:t xml:space="preserve"> è </w:t>
      </w:r>
      <w:r w:rsidR="00F276D0">
        <w:rPr>
          <w:rFonts w:cstheme="minorHAnsi"/>
        </w:rPr>
        <w:t>pesantemente</w:t>
      </w:r>
      <w:r w:rsidR="00E517EF">
        <w:rPr>
          <w:rFonts w:cstheme="minorHAnsi"/>
        </w:rPr>
        <w:t xml:space="preserve"> ostacolato</w:t>
      </w:r>
      <w:r w:rsidR="008A284D">
        <w:rPr>
          <w:rFonts w:cstheme="minorHAnsi"/>
        </w:rPr>
        <w:t xml:space="preserve"> </w:t>
      </w:r>
      <w:r w:rsidR="00E517EF">
        <w:rPr>
          <w:rFonts w:cstheme="minorHAnsi"/>
        </w:rPr>
        <w:t xml:space="preserve">dalla carenza </w:t>
      </w:r>
      <w:r w:rsidR="008A284D">
        <w:rPr>
          <w:rFonts w:cstheme="minorHAnsi"/>
        </w:rPr>
        <w:t xml:space="preserve">di personale sanitario, in particolare infermieristico, una </w:t>
      </w:r>
      <w:r w:rsidR="00E517EF">
        <w:rPr>
          <w:rFonts w:cstheme="minorHAnsi"/>
        </w:rPr>
        <w:t xml:space="preserve">vera </w:t>
      </w:r>
      <w:r w:rsidR="008A284D">
        <w:rPr>
          <w:rFonts w:cstheme="minorHAnsi"/>
        </w:rPr>
        <w:t xml:space="preserve">emergenza nazionale. </w:t>
      </w:r>
      <w:r w:rsidR="00EB1B36">
        <w:rPr>
          <w:rFonts w:cstheme="minorHAnsi"/>
        </w:rPr>
        <w:t xml:space="preserve">Nel caso delle </w:t>
      </w:r>
      <w:r w:rsidR="008A284D">
        <w:rPr>
          <w:rFonts w:cstheme="minorHAnsi"/>
        </w:rPr>
        <w:t>Case della Comunità</w:t>
      </w:r>
      <w:r w:rsidR="00EB1B36">
        <w:rPr>
          <w:rFonts w:cstheme="minorHAnsi"/>
        </w:rPr>
        <w:t xml:space="preserve"> </w:t>
      </w:r>
      <w:r w:rsidR="00E517EF">
        <w:rPr>
          <w:rFonts w:cstheme="minorHAnsi"/>
        </w:rPr>
        <w:t>pesa</w:t>
      </w:r>
      <w:r w:rsidR="008A284D">
        <w:rPr>
          <w:rFonts w:cstheme="minorHAnsi"/>
        </w:rPr>
        <w:t xml:space="preserve"> </w:t>
      </w:r>
      <w:r w:rsidR="00EB1B36">
        <w:rPr>
          <w:rFonts w:cstheme="minorHAnsi"/>
        </w:rPr>
        <w:t xml:space="preserve">poi </w:t>
      </w:r>
      <w:r w:rsidR="008A284D">
        <w:rPr>
          <w:rFonts w:cstheme="minorHAnsi"/>
        </w:rPr>
        <w:t xml:space="preserve">anche </w:t>
      </w:r>
      <w:r w:rsidR="00E517EF">
        <w:rPr>
          <w:rFonts w:cstheme="minorHAnsi"/>
        </w:rPr>
        <w:t>l’assenza di un reale</w:t>
      </w:r>
      <w:r w:rsidR="008A284D">
        <w:rPr>
          <w:rFonts w:cstheme="minorHAnsi"/>
        </w:rPr>
        <w:t xml:space="preserve"> coinvolgimento dei medici di famiglia, perno insostituibile dell’assistenza territoriale</w:t>
      </w:r>
      <w:r w:rsidR="00277F16">
        <w:rPr>
          <w:rFonts w:cstheme="minorHAnsi"/>
        </w:rPr>
        <w:t xml:space="preserve">. </w:t>
      </w:r>
      <w:r w:rsidR="00E517EF">
        <w:rPr>
          <w:rFonts w:cstheme="minorHAnsi"/>
        </w:rPr>
        <w:t xml:space="preserve">È dunque </w:t>
      </w:r>
      <w:r w:rsidR="008A284D">
        <w:rPr>
          <w:rFonts w:cstheme="minorHAnsi"/>
        </w:rPr>
        <w:t xml:space="preserve">indispensabile accelerare </w:t>
      </w:r>
      <w:r w:rsidR="00277F16">
        <w:rPr>
          <w:rFonts w:cstheme="minorHAnsi"/>
        </w:rPr>
        <w:t xml:space="preserve">in maniera sinergica </w:t>
      </w:r>
      <w:r w:rsidR="008A284D">
        <w:rPr>
          <w:rFonts w:cstheme="minorHAnsi"/>
        </w:rPr>
        <w:t xml:space="preserve">su </w:t>
      </w:r>
      <w:r w:rsidR="00E517EF">
        <w:rPr>
          <w:rFonts w:cstheme="minorHAnsi"/>
        </w:rPr>
        <w:t xml:space="preserve">più </w:t>
      </w:r>
      <w:r w:rsidR="008A284D">
        <w:rPr>
          <w:rFonts w:cstheme="minorHAnsi"/>
        </w:rPr>
        <w:t>fronti</w:t>
      </w:r>
      <w:r w:rsidR="00E517EF">
        <w:rPr>
          <w:rFonts w:cstheme="minorHAnsi"/>
        </w:rPr>
        <w:t>,</w:t>
      </w:r>
      <w:r w:rsidR="008A284D">
        <w:rPr>
          <w:rFonts w:cstheme="minorHAnsi"/>
        </w:rPr>
        <w:t xml:space="preserve"> </w:t>
      </w:r>
      <w:r w:rsidR="00E517EF">
        <w:rPr>
          <w:rFonts w:cstheme="minorHAnsi"/>
        </w:rPr>
        <w:t>per</w:t>
      </w:r>
      <w:r w:rsidR="008A284D">
        <w:rPr>
          <w:rFonts w:cstheme="minorHAnsi"/>
        </w:rPr>
        <w:t xml:space="preserve"> </w:t>
      </w:r>
      <w:r w:rsidR="00EB1B36">
        <w:rPr>
          <w:rFonts w:cstheme="minorHAnsi"/>
        </w:rPr>
        <w:t xml:space="preserve">scongiurare </w:t>
      </w:r>
      <w:r w:rsidR="008A284D">
        <w:rPr>
          <w:rFonts w:cstheme="minorHAnsi"/>
        </w:rPr>
        <w:t xml:space="preserve">rischi concreti. </w:t>
      </w:r>
      <w:r w:rsidR="00E517EF">
        <w:rPr>
          <w:rFonts w:cstheme="minorHAnsi"/>
        </w:rPr>
        <w:t>Il primo</w:t>
      </w:r>
      <w:r w:rsidR="008A284D">
        <w:rPr>
          <w:rFonts w:cstheme="minorHAnsi"/>
        </w:rPr>
        <w:t xml:space="preserve">, da evitare </w:t>
      </w:r>
      <w:r w:rsidR="00E517EF">
        <w:rPr>
          <w:rFonts w:cstheme="minorHAnsi"/>
        </w:rPr>
        <w:t>ad ogni costo</w:t>
      </w:r>
      <w:r w:rsidR="008A284D">
        <w:rPr>
          <w:rFonts w:cstheme="minorHAnsi"/>
        </w:rPr>
        <w:t xml:space="preserve">, </w:t>
      </w:r>
      <w:r w:rsidR="00E517EF">
        <w:rPr>
          <w:rFonts w:cstheme="minorHAnsi"/>
        </w:rPr>
        <w:t xml:space="preserve">è quello </w:t>
      </w:r>
      <w:r w:rsidR="008A284D">
        <w:rPr>
          <w:rFonts w:cstheme="minorHAnsi"/>
        </w:rPr>
        <w:t xml:space="preserve">di non raggiungere i target </w:t>
      </w:r>
      <w:r w:rsidR="00E517EF">
        <w:rPr>
          <w:rFonts w:cstheme="minorHAnsi"/>
        </w:rPr>
        <w:t xml:space="preserve">europei </w:t>
      </w:r>
      <w:r w:rsidR="008A284D">
        <w:rPr>
          <w:rFonts w:cstheme="minorHAnsi"/>
        </w:rPr>
        <w:t>e dover restituire il contributo a fondo perduto</w:t>
      </w:r>
      <w:r w:rsidR="00E517EF">
        <w:rPr>
          <w:rFonts w:cstheme="minorHAnsi"/>
        </w:rPr>
        <w:t>. Il secondo è di</w:t>
      </w:r>
      <w:r w:rsidR="008A284D">
        <w:rPr>
          <w:rFonts w:cstheme="minorHAnsi"/>
        </w:rPr>
        <w:t xml:space="preserve"> </w:t>
      </w:r>
      <w:r w:rsidR="00E517EF">
        <w:rPr>
          <w:rFonts w:cstheme="minorHAnsi"/>
        </w:rPr>
        <w:t>raggiunger</w:t>
      </w:r>
      <w:r w:rsidR="00CD15A8">
        <w:rPr>
          <w:rFonts w:cstheme="minorHAnsi"/>
        </w:rPr>
        <w:t xml:space="preserve">e il target nazionale, </w:t>
      </w:r>
      <w:r w:rsidR="00E517EF">
        <w:rPr>
          <w:rFonts w:cstheme="minorHAnsi"/>
        </w:rPr>
        <w:t xml:space="preserve">senza </w:t>
      </w:r>
      <w:r w:rsidR="00EB1B36">
        <w:rPr>
          <w:rFonts w:cstheme="minorHAnsi"/>
        </w:rPr>
        <w:t xml:space="preserve">però </w:t>
      </w:r>
      <w:r w:rsidR="00E517EF">
        <w:rPr>
          <w:rFonts w:cstheme="minorHAnsi"/>
        </w:rPr>
        <w:t>ridurre</w:t>
      </w:r>
      <w:r w:rsidR="008A284D">
        <w:rPr>
          <w:rFonts w:cstheme="minorHAnsi"/>
        </w:rPr>
        <w:t xml:space="preserve"> le diseguaglianze regionali e territoriali</w:t>
      </w:r>
      <w:r w:rsidR="00E517EF">
        <w:rPr>
          <w:rFonts w:cstheme="minorHAnsi"/>
        </w:rPr>
        <w:t>,</w:t>
      </w:r>
      <w:r w:rsidR="00CC37C1">
        <w:rPr>
          <w:rFonts w:cstheme="minorHAnsi"/>
        </w:rPr>
        <w:t xml:space="preserve"> </w:t>
      </w:r>
      <w:r w:rsidR="00277F16">
        <w:rPr>
          <w:rFonts w:cstheme="minorHAnsi"/>
        </w:rPr>
        <w:t>che</w:t>
      </w:r>
      <w:r w:rsidR="00E517EF">
        <w:rPr>
          <w:rFonts w:cstheme="minorHAnsi"/>
        </w:rPr>
        <w:t xml:space="preserve"> rischiano anzi di ampliarsi. Il terzo, il più grave, è </w:t>
      </w:r>
      <w:r w:rsidR="008A284D">
        <w:rPr>
          <w:rFonts w:cstheme="minorHAnsi"/>
        </w:rPr>
        <w:t>“portare i soldi a casa”</w:t>
      </w:r>
      <w:r w:rsidR="00277F16">
        <w:rPr>
          <w:rFonts w:cstheme="minorHAnsi"/>
        </w:rPr>
        <w:t xml:space="preserve"> </w:t>
      </w:r>
      <w:r w:rsidR="008A284D">
        <w:rPr>
          <w:rFonts w:cstheme="minorHAnsi"/>
        </w:rPr>
        <w:t xml:space="preserve">senza </w:t>
      </w:r>
      <w:r w:rsidR="00E517EF">
        <w:rPr>
          <w:rFonts w:cstheme="minorHAnsi"/>
        </w:rPr>
        <w:t xml:space="preserve">produrre </w:t>
      </w:r>
      <w:r w:rsidR="008A284D">
        <w:rPr>
          <w:rFonts w:cstheme="minorHAnsi"/>
        </w:rPr>
        <w:t xml:space="preserve">benefici </w:t>
      </w:r>
      <w:r w:rsidR="00E517EF">
        <w:rPr>
          <w:rFonts w:cstheme="minorHAnsi"/>
        </w:rPr>
        <w:t xml:space="preserve">reali </w:t>
      </w:r>
      <w:r w:rsidR="008A284D">
        <w:rPr>
          <w:rFonts w:cstheme="minorHAnsi"/>
        </w:rPr>
        <w:t>per cittadini e pazienti</w:t>
      </w:r>
      <w:r w:rsidR="00E517EF">
        <w:rPr>
          <w:rFonts w:cstheme="minorHAnsi"/>
        </w:rPr>
        <w:t xml:space="preserve">, </w:t>
      </w:r>
      <w:r w:rsidR="00EB1B36">
        <w:t>lasciando in eredità solo scatole vuote e una digitalizzazione incompleta, a fronte di un indebitamento scaricato sulle generazioni future</w:t>
      </w:r>
      <w:r w:rsidR="008A284D" w:rsidRPr="00A671D3">
        <w:t>»</w:t>
      </w:r>
      <w:r w:rsidR="000D28D8">
        <w:t>.</w:t>
      </w:r>
    </w:p>
    <w:p w14:paraId="11FC886C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200A5CEC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7F0870DE" w14:textId="75A1C849" w:rsidR="001A2D1A" w:rsidRDefault="00FD63E4" w:rsidP="00A720C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13" w:history="1">
        <w:r w:rsidRPr="005240BD">
          <w:rPr>
            <w:rFonts w:eastAsia="Calibri" w:cstheme="minorHAnsi"/>
          </w:rPr>
          <w:t>ufficio.stampa@gimbe.org</w:t>
        </w:r>
      </w:hyperlink>
    </w:p>
    <w:p w14:paraId="7D418DB6" w14:textId="165E1BC4" w:rsidR="00AC5A81" w:rsidRDefault="00AC5A81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387C3AB2" w14:textId="77777777" w:rsidR="0006218B" w:rsidRDefault="0006218B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335BEEA4" w14:textId="7F46D7DD" w:rsidR="00AF0E11" w:rsidRDefault="00AF0E11" w:rsidP="001A2D1A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lastRenderedPageBreak/>
        <w:t xml:space="preserve">Figura 1. Numero di servizi </w:t>
      </w:r>
      <w:r w:rsidR="0006218B">
        <w:rPr>
          <w:b/>
          <w:bCs/>
          <w:color w:val="00457D"/>
          <w:u w:color="00457D"/>
        </w:rPr>
        <w:t xml:space="preserve">dichiarati </w:t>
      </w:r>
      <w:r>
        <w:rPr>
          <w:b/>
          <w:bCs/>
          <w:color w:val="00457D"/>
          <w:u w:color="00457D"/>
        </w:rPr>
        <w:t xml:space="preserve">attivi </w:t>
      </w:r>
      <w:r w:rsidR="00903510">
        <w:rPr>
          <w:b/>
          <w:bCs/>
          <w:color w:val="00457D"/>
          <w:u w:color="00457D"/>
        </w:rPr>
        <w:t>per l’</w:t>
      </w:r>
      <w:r w:rsidRPr="00AF0E11">
        <w:rPr>
          <w:b/>
          <w:bCs/>
          <w:color w:val="00457D"/>
          <w:u w:color="00457D"/>
        </w:rPr>
        <w:t>assistenza domiciliare integrata</w:t>
      </w:r>
      <w:r w:rsidR="00903510">
        <w:rPr>
          <w:b/>
          <w:bCs/>
          <w:color w:val="00457D"/>
          <w:u w:color="00457D"/>
        </w:rPr>
        <w:t xml:space="preserve"> in tutti i distretti della Regione</w:t>
      </w:r>
      <w:r w:rsidR="00903510" w:rsidRPr="00AF0E11">
        <w:rPr>
          <w:b/>
          <w:bCs/>
          <w:color w:val="00457D"/>
          <w:u w:color="00457D"/>
        </w:rPr>
        <w:t xml:space="preserve"> </w:t>
      </w:r>
      <w:r>
        <w:rPr>
          <w:b/>
          <w:bCs/>
          <w:color w:val="00457D"/>
          <w:u w:color="00457D"/>
        </w:rPr>
        <w:t>(dati Agenas al 20 dicembre 2024)</w:t>
      </w:r>
    </w:p>
    <w:p w14:paraId="4AFDC393" w14:textId="5B011B0C" w:rsidR="00AF0E11" w:rsidRDefault="00AF0E11" w:rsidP="001A2D1A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noProof/>
          <w:color w:val="00457D"/>
          <w:u w:color="00457D"/>
          <w:lang w:eastAsia="it-IT"/>
        </w:rPr>
        <w:drawing>
          <wp:inline distT="0" distB="0" distL="0" distR="0" wp14:anchorId="3F83CDF4" wp14:editId="44F7CB71">
            <wp:extent cx="5400000" cy="4564304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564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77A71" w14:textId="7DDD6650" w:rsidR="00AF0E11" w:rsidRDefault="00AF0E11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14F44BD6" w14:textId="7C393CE1" w:rsidR="00AF0E11" w:rsidRDefault="00AF0E11" w:rsidP="00E770FC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t xml:space="preserve">Figura 2. </w:t>
      </w:r>
      <w:r w:rsidR="00E770FC" w:rsidRPr="00E770FC">
        <w:rPr>
          <w:b/>
          <w:bCs/>
          <w:color w:val="00457D"/>
          <w:u w:color="00457D"/>
        </w:rPr>
        <w:t xml:space="preserve">Case della Comunità: servizi </w:t>
      </w:r>
      <w:r w:rsidR="0006218B">
        <w:rPr>
          <w:b/>
          <w:bCs/>
          <w:color w:val="00457D"/>
          <w:u w:color="00457D"/>
        </w:rPr>
        <w:t xml:space="preserve">dichiarati </w:t>
      </w:r>
      <w:r w:rsidR="00E770FC" w:rsidRPr="00E770FC">
        <w:rPr>
          <w:b/>
          <w:bCs/>
          <w:color w:val="00457D"/>
          <w:u w:color="00457D"/>
        </w:rPr>
        <w:t xml:space="preserve">attivi </w:t>
      </w:r>
      <w:r w:rsidR="00E770FC">
        <w:rPr>
          <w:b/>
          <w:bCs/>
          <w:color w:val="00457D"/>
          <w:u w:color="00457D"/>
        </w:rPr>
        <w:t>al 20 dicembre 2024 (dati Agenas)</w:t>
      </w:r>
    </w:p>
    <w:p w14:paraId="17DFE8B9" w14:textId="76FD58BD" w:rsidR="00AF0E11" w:rsidRDefault="0006218B" w:rsidP="00CF3E49">
      <w:pPr>
        <w:jc w:val="center"/>
        <w:rPr>
          <w:b/>
          <w:bCs/>
          <w:color w:val="00457D"/>
          <w:u w:color="00457D"/>
        </w:rPr>
      </w:pPr>
      <w:r>
        <w:rPr>
          <w:b/>
          <w:bCs/>
          <w:noProof/>
          <w:color w:val="00457D"/>
          <w:u w:color="00457D"/>
          <w:lang w:eastAsia="it-IT"/>
        </w:rPr>
        <w:drawing>
          <wp:inline distT="0" distB="0" distL="0" distR="0" wp14:anchorId="3A6DA8C7" wp14:editId="3A10D41A">
            <wp:extent cx="5400000" cy="286343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863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0E11">
        <w:rPr>
          <w:b/>
          <w:bCs/>
          <w:color w:val="00457D"/>
          <w:u w:color="00457D"/>
        </w:rPr>
        <w:br w:type="page"/>
      </w:r>
    </w:p>
    <w:p w14:paraId="16F4CC37" w14:textId="14ACC424" w:rsidR="00997C38" w:rsidRDefault="00997C38" w:rsidP="00997C38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lastRenderedPageBreak/>
        <w:t xml:space="preserve">Tabella 1. Case della </w:t>
      </w:r>
      <w:r w:rsidR="00E517EF">
        <w:rPr>
          <w:b/>
          <w:bCs/>
          <w:color w:val="00457D"/>
          <w:u w:color="00457D"/>
        </w:rPr>
        <w:t xml:space="preserve">Comunità </w:t>
      </w:r>
      <w:r>
        <w:rPr>
          <w:b/>
          <w:bCs/>
          <w:color w:val="00457D"/>
          <w:u w:color="00457D"/>
        </w:rPr>
        <w:t>(dati Agenas al 20 dicembre 2024)</w:t>
      </w:r>
    </w:p>
    <w:tbl>
      <w:tblPr>
        <w:tblW w:w="7626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284"/>
        <w:gridCol w:w="1267"/>
        <w:gridCol w:w="1520"/>
        <w:gridCol w:w="1580"/>
      </w:tblGrid>
      <w:tr w:rsidR="00997C38" w:rsidRPr="00997C38" w14:paraId="27C2BE82" w14:textId="77777777" w:rsidTr="00997C38">
        <w:trPr>
          <w:trHeight w:val="340"/>
          <w:jc w:val="center"/>
        </w:trPr>
        <w:tc>
          <w:tcPr>
            <w:tcW w:w="1975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484B1027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284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02B78E86" w14:textId="77777777" w:rsidR="00997C38" w:rsidRPr="00997C38" w:rsidRDefault="00997C38" w:rsidP="00D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Programmate</w:t>
            </w:r>
          </w:p>
        </w:tc>
        <w:tc>
          <w:tcPr>
            <w:tcW w:w="1267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56E362CD" w14:textId="1D5F118B" w:rsidR="00997C38" w:rsidRPr="00997C38" w:rsidRDefault="00997C38" w:rsidP="00D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Con almeno un servizio </w:t>
            </w:r>
            <w:r w:rsidR="005751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dichiarato </w:t>
            </w: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attivo</w:t>
            </w:r>
          </w:p>
        </w:tc>
        <w:tc>
          <w:tcPr>
            <w:tcW w:w="310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457D"/>
            <w:vAlign w:val="center"/>
          </w:tcPr>
          <w:p w14:paraId="6C522E2F" w14:textId="51291B5E" w:rsidR="00997C38" w:rsidRPr="00997C38" w:rsidRDefault="00997C38" w:rsidP="00D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Con tutti i servizi obbligatori </w:t>
            </w:r>
            <w:r w:rsidR="005751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dichiarati </w:t>
            </w: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attivi</w:t>
            </w:r>
          </w:p>
        </w:tc>
      </w:tr>
      <w:tr w:rsidR="00997C38" w:rsidRPr="00997C38" w14:paraId="047062BA" w14:textId="77777777" w:rsidTr="00997C38">
        <w:trPr>
          <w:trHeight w:val="567"/>
          <w:jc w:val="center"/>
        </w:trPr>
        <w:tc>
          <w:tcPr>
            <w:tcW w:w="1975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5133766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2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7D412A67" w14:textId="77777777" w:rsidR="00997C38" w:rsidRPr="00997C38" w:rsidRDefault="00997C38" w:rsidP="00D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26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4804B66A" w14:textId="77777777" w:rsidR="00997C38" w:rsidRPr="00997C38" w:rsidRDefault="00997C38" w:rsidP="00D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77D6EA3B" w14:textId="77777777" w:rsidR="00997C38" w:rsidRPr="00997C38" w:rsidRDefault="00997C38" w:rsidP="00D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Senza presenza medica e infermieristica</w:t>
            </w: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AE4BE97" w14:textId="77777777" w:rsidR="00997C38" w:rsidRPr="00997C38" w:rsidRDefault="00997C38" w:rsidP="00DF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Con presenza medica e infermieristica</w:t>
            </w:r>
          </w:p>
        </w:tc>
      </w:tr>
      <w:tr w:rsidR="00997C38" w:rsidRPr="00997C38" w14:paraId="676DFBD8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6883210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1F58E5F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4637DF9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7E47A6B" w14:textId="30EFC87D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3394738" w14:textId="4F54C089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3A1ACB9D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16378C5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01CD53D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2D5D6D" w14:textId="73A38FFC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06602DA" w14:textId="4145E430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4884062" w14:textId="5D473A38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412B48C3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310221F9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9DE226D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DB88B1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17A0A8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37B02E8" w14:textId="06EBFA2D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2D24F3B0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34932972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CA9D4A2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4EF2A3" w14:textId="4811B9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1BF425C" w14:textId="349D447F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161B9E2" w14:textId="7F325A76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02BED9E4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7DA55F94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C50BD41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07956A1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9FD4D88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5943B96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13</w:t>
            </w:r>
          </w:p>
        </w:tc>
      </w:tr>
      <w:tr w:rsidR="00997C38" w:rsidRPr="00997C38" w14:paraId="55889890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EB99E9F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2072CB4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4AD85F" w14:textId="7C4D881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A5B8C53" w14:textId="2FB12D4D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52347DC" w14:textId="6249492D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5FE078BB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7451BDC0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EE96F19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C581821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AA2822E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768F089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</w:tr>
      <w:tr w:rsidR="00997C38" w:rsidRPr="00997C38" w14:paraId="5632CD33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41848A48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4B9B8A9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EDF054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A29A48D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A9A8D7D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</w:tr>
      <w:tr w:rsidR="00997C38" w:rsidRPr="00997C38" w14:paraId="4DC6FA9C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75F700BB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FE3F2A8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E0E017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C0189A6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20AA774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</w:tr>
      <w:tr w:rsidR="00997C38" w:rsidRPr="00997C38" w14:paraId="5B8F2F39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5891AF8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7DC964D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7EEBA1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422494B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26298DD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</w:tr>
      <w:tr w:rsidR="00997C38" w:rsidRPr="00997C38" w14:paraId="2F8FC7E8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1F138EDA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C5BFF4F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05E69CC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10D6065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937DFC1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</w:tr>
      <w:tr w:rsidR="00997C38" w:rsidRPr="00997C38" w14:paraId="1C551991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39F4CC20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F47ADFB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EA6586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A45C2E2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1524606" w14:textId="4B7DDDF9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4900AC91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7C28ACC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Prov. Aut. di Bolzano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D5373A6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5888258" w14:textId="503CD4C9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0FD380C" w14:textId="070302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D5BE22C" w14:textId="03ED97C2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2187236D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39E916CF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Prov. Aut. di Trento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E1CDEC3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9AB754" w14:textId="6D454816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E77FF35" w14:textId="05B4580D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C869176" w14:textId="54F2D32E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20EC313C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866D1FB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B926BA9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393EA9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E25B46F" w14:textId="1DA3B570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787D467" w14:textId="475AA81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29324DB5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20299F05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7C63C95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B0F220F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E9A4BB9" w14:textId="7C23FE44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057F3D6" w14:textId="26DFD1F4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0993C0B7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9DBE0FD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3530148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164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6509EA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3A18EB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4DAD113" w14:textId="01E8719B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46CE88AB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454D4DF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5771ED1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5E60D6C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59DA560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BDE361B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</w:t>
            </w:r>
          </w:p>
        </w:tc>
      </w:tr>
      <w:tr w:rsidR="00997C38" w:rsidRPr="00997C38" w14:paraId="5C063406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7C5DE075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878EEA0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674F5D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05C5118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09FC2F0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</w:tr>
      <w:tr w:rsidR="00997C38" w:rsidRPr="00997C38" w14:paraId="40BF3CEB" w14:textId="77777777" w:rsidTr="00997C38">
        <w:trPr>
          <w:trHeight w:val="340"/>
          <w:jc w:val="center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7506A4EA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AF1A3F0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2AFCA3" w14:textId="1F9D224D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32AD9DF" w14:textId="40065658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DF525FC" w14:textId="6D23E53B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28F0FFD5" w14:textId="77777777" w:rsidTr="00997C38">
        <w:trPr>
          <w:trHeight w:val="340"/>
          <w:jc w:val="center"/>
        </w:trPr>
        <w:tc>
          <w:tcPr>
            <w:tcW w:w="1975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390CD54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284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521CDB4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267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CDD6973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520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52352AB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80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727478F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</w:tr>
      <w:tr w:rsidR="00997C38" w:rsidRPr="00997C38" w14:paraId="105880CA" w14:textId="77777777" w:rsidTr="00997C38">
        <w:trPr>
          <w:trHeight w:val="340"/>
          <w:jc w:val="center"/>
        </w:trPr>
        <w:tc>
          <w:tcPr>
            <w:tcW w:w="1975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09361C6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11AC923" w14:textId="4E15F833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.</w:t>
            </w: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717</w:t>
            </w:r>
          </w:p>
        </w:tc>
        <w:tc>
          <w:tcPr>
            <w:tcW w:w="12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BA3263F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485</w:t>
            </w:r>
          </w:p>
        </w:tc>
        <w:tc>
          <w:tcPr>
            <w:tcW w:w="1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CFF1355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118</w:t>
            </w:r>
          </w:p>
        </w:tc>
        <w:tc>
          <w:tcPr>
            <w:tcW w:w="1580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095728E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46</w:t>
            </w:r>
          </w:p>
        </w:tc>
      </w:tr>
    </w:tbl>
    <w:p w14:paraId="2E5178A3" w14:textId="77777777" w:rsidR="00997C38" w:rsidRDefault="00997C38" w:rsidP="00997C38">
      <w:pPr>
        <w:spacing w:after="0"/>
        <w:jc w:val="center"/>
        <w:rPr>
          <w:b/>
          <w:bCs/>
          <w:color w:val="00457D"/>
          <w:u w:color="00457D"/>
        </w:rPr>
      </w:pPr>
    </w:p>
    <w:p w14:paraId="32453B7C" w14:textId="77777777" w:rsidR="00997C38" w:rsidRDefault="00997C38">
      <w:pPr>
        <w:rPr>
          <w:b/>
          <w:bCs/>
          <w:color w:val="00457D"/>
          <w:u w:color="00457D"/>
        </w:rPr>
      </w:pPr>
    </w:p>
    <w:p w14:paraId="3471CDE7" w14:textId="77777777" w:rsidR="00997C38" w:rsidRDefault="00997C38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2507C8FC" w14:textId="42ED455C" w:rsidR="00997C38" w:rsidRDefault="00997C38" w:rsidP="00997C38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lastRenderedPageBreak/>
        <w:t xml:space="preserve">Figura 3. </w:t>
      </w:r>
      <w:r w:rsidRPr="00E770FC">
        <w:rPr>
          <w:b/>
          <w:bCs/>
          <w:color w:val="00457D"/>
          <w:u w:color="00457D"/>
        </w:rPr>
        <w:t>Case della Comunità</w:t>
      </w:r>
      <w:r>
        <w:rPr>
          <w:b/>
          <w:bCs/>
          <w:color w:val="00457D"/>
          <w:u w:color="00457D"/>
        </w:rPr>
        <w:t xml:space="preserve"> con almeno un servizio </w:t>
      </w:r>
      <w:r w:rsidR="005751B1">
        <w:rPr>
          <w:b/>
          <w:bCs/>
          <w:color w:val="00457D"/>
          <w:u w:color="00457D"/>
        </w:rPr>
        <w:t xml:space="preserve">dichiarato </w:t>
      </w:r>
      <w:r w:rsidRPr="00E770FC">
        <w:rPr>
          <w:b/>
          <w:bCs/>
          <w:color w:val="00457D"/>
          <w:u w:color="00457D"/>
        </w:rPr>
        <w:t>attiv</w:t>
      </w:r>
      <w:r>
        <w:rPr>
          <w:b/>
          <w:bCs/>
          <w:color w:val="00457D"/>
          <w:u w:color="00457D"/>
        </w:rPr>
        <w:t>o (dati Agenas</w:t>
      </w:r>
      <w:r w:rsidR="00E517EF" w:rsidRPr="00E517EF">
        <w:rPr>
          <w:b/>
          <w:bCs/>
          <w:color w:val="00457D"/>
          <w:u w:color="00457D"/>
        </w:rPr>
        <w:t xml:space="preserve"> </w:t>
      </w:r>
      <w:r w:rsidR="00E517EF">
        <w:rPr>
          <w:b/>
          <w:bCs/>
          <w:color w:val="00457D"/>
          <w:u w:color="00457D"/>
        </w:rPr>
        <w:t>al 20 dicembre 2024</w:t>
      </w:r>
      <w:r>
        <w:rPr>
          <w:b/>
          <w:bCs/>
          <w:color w:val="00457D"/>
          <w:u w:color="00457D"/>
        </w:rPr>
        <w:t>)</w:t>
      </w:r>
    </w:p>
    <w:p w14:paraId="07579FF1" w14:textId="352AD19B" w:rsidR="00997C38" w:rsidRDefault="00997C38" w:rsidP="00997C38">
      <w:pPr>
        <w:jc w:val="center"/>
        <w:rPr>
          <w:b/>
          <w:bCs/>
          <w:color w:val="00457D"/>
          <w:u w:color="00457D"/>
        </w:rPr>
      </w:pPr>
      <w:r>
        <w:rPr>
          <w:b/>
          <w:bCs/>
          <w:noProof/>
          <w:color w:val="00457D"/>
          <w:u w:color="00457D"/>
          <w:lang w:eastAsia="it-IT"/>
        </w:rPr>
        <w:drawing>
          <wp:inline distT="0" distB="0" distL="0" distR="0" wp14:anchorId="2CDD36BF" wp14:editId="0BE465D5">
            <wp:extent cx="5400000" cy="4776923"/>
            <wp:effectExtent l="0" t="0" r="0" b="508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776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457D"/>
          <w:u w:color="00457D"/>
        </w:rPr>
        <w:br w:type="page"/>
      </w:r>
    </w:p>
    <w:p w14:paraId="5BD65AA2" w14:textId="238AC1AD" w:rsidR="00CF3E49" w:rsidRDefault="00CF3E49" w:rsidP="00CF3E49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lastRenderedPageBreak/>
        <w:t xml:space="preserve">Figura </w:t>
      </w:r>
      <w:r w:rsidR="00997C38">
        <w:rPr>
          <w:b/>
          <w:bCs/>
          <w:color w:val="00457D"/>
          <w:u w:color="00457D"/>
        </w:rPr>
        <w:t>4</w:t>
      </w:r>
      <w:r>
        <w:rPr>
          <w:b/>
          <w:bCs/>
          <w:color w:val="00457D"/>
          <w:u w:color="00457D"/>
        </w:rPr>
        <w:t xml:space="preserve">. </w:t>
      </w:r>
      <w:r w:rsidRPr="00E770FC">
        <w:rPr>
          <w:b/>
          <w:bCs/>
          <w:color w:val="00457D"/>
          <w:u w:color="00457D"/>
        </w:rPr>
        <w:t>Case della Comunità</w:t>
      </w:r>
      <w:r w:rsidR="00997C38">
        <w:rPr>
          <w:b/>
          <w:bCs/>
          <w:color w:val="00457D"/>
          <w:u w:color="00457D"/>
        </w:rPr>
        <w:t xml:space="preserve"> con tutti i </w:t>
      </w:r>
      <w:r w:rsidRPr="00E770FC">
        <w:rPr>
          <w:b/>
          <w:bCs/>
          <w:color w:val="00457D"/>
          <w:u w:color="00457D"/>
        </w:rPr>
        <w:t xml:space="preserve">servizi </w:t>
      </w:r>
      <w:r w:rsidR="00997C38">
        <w:rPr>
          <w:b/>
          <w:bCs/>
          <w:color w:val="00457D"/>
          <w:u w:color="00457D"/>
        </w:rPr>
        <w:t xml:space="preserve">obbligatori </w:t>
      </w:r>
      <w:r w:rsidR="005751B1">
        <w:rPr>
          <w:b/>
          <w:bCs/>
          <w:color w:val="00457D"/>
          <w:u w:color="00457D"/>
        </w:rPr>
        <w:t xml:space="preserve">dichiarati </w:t>
      </w:r>
      <w:r w:rsidRPr="00E770FC">
        <w:rPr>
          <w:b/>
          <w:bCs/>
          <w:color w:val="00457D"/>
          <w:u w:color="00457D"/>
        </w:rPr>
        <w:t xml:space="preserve">attivi </w:t>
      </w:r>
      <w:r w:rsidR="005751B1">
        <w:rPr>
          <w:b/>
          <w:bCs/>
          <w:color w:val="00457D"/>
          <w:u w:color="00457D"/>
        </w:rPr>
        <w:br/>
      </w:r>
      <w:r>
        <w:rPr>
          <w:b/>
          <w:bCs/>
          <w:color w:val="00457D"/>
          <w:u w:color="00457D"/>
        </w:rPr>
        <w:t>(dati Agenas</w:t>
      </w:r>
      <w:r w:rsidR="00E517EF" w:rsidRPr="00E517EF">
        <w:rPr>
          <w:b/>
          <w:bCs/>
          <w:color w:val="00457D"/>
          <w:u w:color="00457D"/>
        </w:rPr>
        <w:t xml:space="preserve"> </w:t>
      </w:r>
      <w:r w:rsidR="00E517EF">
        <w:rPr>
          <w:b/>
          <w:bCs/>
          <w:color w:val="00457D"/>
          <w:u w:color="00457D"/>
        </w:rPr>
        <w:t>al 20 dicembre 2024</w:t>
      </w:r>
      <w:r>
        <w:rPr>
          <w:b/>
          <w:bCs/>
          <w:color w:val="00457D"/>
          <w:u w:color="00457D"/>
        </w:rPr>
        <w:t>)</w:t>
      </w:r>
    </w:p>
    <w:p w14:paraId="082D27A9" w14:textId="700485F7" w:rsidR="00CF3E49" w:rsidRDefault="00997C38" w:rsidP="001A2D1A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noProof/>
          <w:color w:val="00457D"/>
          <w:u w:color="00457D"/>
          <w:lang w:eastAsia="it-IT"/>
        </w:rPr>
        <w:drawing>
          <wp:inline distT="0" distB="0" distL="0" distR="0" wp14:anchorId="28667991" wp14:editId="4624C460">
            <wp:extent cx="5400000" cy="4776923"/>
            <wp:effectExtent l="0" t="0" r="0" b="508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776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4C966" w14:textId="7F335D14" w:rsidR="00CF3E49" w:rsidRDefault="00CF3E49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9AE6B17" w14:textId="479F874A" w:rsidR="00997C38" w:rsidRDefault="00997C38">
      <w:pPr>
        <w:rPr>
          <w:b/>
          <w:bCs/>
          <w:color w:val="00457D"/>
          <w:u w:color="00457D"/>
        </w:rPr>
      </w:pPr>
    </w:p>
    <w:p w14:paraId="5A01BECB" w14:textId="1001467E" w:rsidR="00997C38" w:rsidRDefault="00997C38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1BFA13F6" w14:textId="77777777" w:rsidR="00997C38" w:rsidRDefault="00997C38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738C8261" w14:textId="77777777" w:rsidR="00997C38" w:rsidRDefault="00997C38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5A2FE9EA" w14:textId="77C89AA9" w:rsidR="00997C38" w:rsidRDefault="00997C38" w:rsidP="00997C38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lastRenderedPageBreak/>
        <w:t>Tabella 2. Ospedali di comunità (dati Agenas al 20 dicembre 2024)</w:t>
      </w:r>
    </w:p>
    <w:tbl>
      <w:tblPr>
        <w:tblW w:w="5750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139"/>
        <w:gridCol w:w="2211"/>
      </w:tblGrid>
      <w:tr w:rsidR="00997C38" w:rsidRPr="00997C38" w14:paraId="3D818A24" w14:textId="77777777" w:rsidTr="00997C38">
        <w:trPr>
          <w:trHeight w:val="567"/>
          <w:jc w:val="center"/>
        </w:trPr>
        <w:tc>
          <w:tcPr>
            <w:tcW w:w="240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336441A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139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73DF5695" w14:textId="14969A81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Previsti</w:t>
            </w:r>
          </w:p>
        </w:tc>
        <w:tc>
          <w:tcPr>
            <w:tcW w:w="2211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vAlign w:val="center"/>
            <w:hideMark/>
          </w:tcPr>
          <w:p w14:paraId="5A099AB9" w14:textId="63F7A2E9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Con almeno un servizio dichiarato attivo</w:t>
            </w:r>
          </w:p>
        </w:tc>
      </w:tr>
      <w:tr w:rsidR="00997C38" w:rsidRPr="00997C38" w14:paraId="7DD2F695" w14:textId="77777777" w:rsidTr="00997C38">
        <w:trPr>
          <w:trHeight w:val="340"/>
          <w:jc w:val="center"/>
        </w:trPr>
        <w:tc>
          <w:tcPr>
            <w:tcW w:w="2400" w:type="dxa"/>
            <w:tcBorders>
              <w:top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D9D663D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139" w:type="dxa"/>
            <w:tcBorders>
              <w:top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A67FFDD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211" w:type="dxa"/>
            <w:tcBorders>
              <w:top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2CF829F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997C38" w:rsidRPr="00997C38" w14:paraId="6F276F01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14AB6C1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4A51D112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FCE79E7" w14:textId="53B097B4" w:rsidR="00997C38" w:rsidRPr="00997C38" w:rsidRDefault="007F2D03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2C5F6427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6DA5C44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121293EB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DC15178" w14:textId="223445C2" w:rsidR="00997C38" w:rsidRPr="00997C38" w:rsidRDefault="007F2D03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453B1892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291F3DF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1445ABB3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FD8A4E7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997C38" w:rsidRPr="00997C38" w14:paraId="5DF3D22E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72A6D0A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1A5BD80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E639910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7F2D03" w:rsidRPr="00997C38" w14:paraId="1D3727C2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DD30C12" w14:textId="77777777" w:rsidR="007F2D03" w:rsidRPr="00997C38" w:rsidRDefault="007F2D03" w:rsidP="007F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482F4D1" w14:textId="77777777" w:rsidR="007F2D03" w:rsidRPr="00997C38" w:rsidRDefault="007F2D03" w:rsidP="007F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EF6CD84" w14:textId="01F01646" w:rsidR="007F2D03" w:rsidRPr="00997C38" w:rsidRDefault="007F2D03" w:rsidP="007F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7F2D03" w:rsidRPr="00997C38" w14:paraId="67AA6656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7FCF90B" w14:textId="77777777" w:rsidR="007F2D03" w:rsidRPr="00997C38" w:rsidRDefault="007F2D03" w:rsidP="007F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EEB0458" w14:textId="77777777" w:rsidR="007F2D03" w:rsidRPr="00997C38" w:rsidRDefault="007F2D03" w:rsidP="007F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9128CA5" w14:textId="1507FA1D" w:rsidR="007F2D03" w:rsidRPr="00997C38" w:rsidRDefault="007F2D03" w:rsidP="007F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2F49087D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F24EDA0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16BCDAAF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61E30F5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997C38" w:rsidRPr="00997C38" w14:paraId="055AB6AF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FD762F4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4FBDF51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DB2F480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997C38" w:rsidRPr="00997C38" w14:paraId="6F126BD9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41F0582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35230CF7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CB5372D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997C38" w:rsidRPr="00997C38" w14:paraId="1C23860E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0C04E02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C7D6509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19A00F5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7F2D03" w:rsidRPr="00997C38" w14:paraId="752B51E7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9DA92C4" w14:textId="77777777" w:rsidR="007F2D03" w:rsidRPr="00997C38" w:rsidRDefault="007F2D03" w:rsidP="007F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13D2E36" w14:textId="77777777" w:rsidR="007F2D03" w:rsidRPr="00997C38" w:rsidRDefault="007F2D03" w:rsidP="007F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322B29F" w14:textId="5F90F56A" w:rsidR="007F2D03" w:rsidRPr="00997C38" w:rsidRDefault="007F2D03" w:rsidP="007F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7F2D03" w:rsidRPr="00997C38" w14:paraId="4E02AD50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9F20A73" w14:textId="77777777" w:rsidR="007F2D03" w:rsidRPr="00997C38" w:rsidRDefault="007F2D03" w:rsidP="007F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Prov. Aut. di Bolzano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587973F" w14:textId="77777777" w:rsidR="007F2D03" w:rsidRPr="00997C38" w:rsidRDefault="007F2D03" w:rsidP="007F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DC231F0" w14:textId="11F2C7B2" w:rsidR="007F2D03" w:rsidRPr="00997C38" w:rsidRDefault="007F2D03" w:rsidP="007F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7F2D03" w:rsidRPr="00997C38" w14:paraId="15E412F8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7BFA9E8" w14:textId="77777777" w:rsidR="007F2D03" w:rsidRPr="00997C38" w:rsidRDefault="007F2D03" w:rsidP="007F2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Prov. Aut. di Trento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EE60CEF" w14:textId="77777777" w:rsidR="007F2D03" w:rsidRPr="00997C38" w:rsidRDefault="007F2D03" w:rsidP="007F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A8B1CFF" w14:textId="1F9F04F1" w:rsidR="007F2D03" w:rsidRPr="00997C38" w:rsidRDefault="007F2D03" w:rsidP="007F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382CB1E0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9B86DA3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352F33C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04A29A8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997C38" w:rsidRPr="00997C38" w14:paraId="0DCBDC2A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5B0BFC9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8BA48FB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D8E792E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997C38" w:rsidRPr="00997C38" w14:paraId="54D3EA02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0C9F3E0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3E9DB031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27D1D25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997C38" w:rsidRPr="00997C38" w14:paraId="5968DB72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0C53933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93037A4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9D34774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997C38" w:rsidRPr="00997C38" w14:paraId="3AB9353B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6B787FF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9E90478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B5D70B2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997C38" w:rsidRPr="00997C38" w14:paraId="4E6967BE" w14:textId="77777777" w:rsidTr="00997C38">
        <w:trPr>
          <w:trHeight w:val="34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E3BE6BB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B0F8D05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EA1C0AC" w14:textId="3E9446B5" w:rsidR="00997C38" w:rsidRPr="00997C38" w:rsidRDefault="007F2D03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997C38" w:rsidRPr="00997C38" w14:paraId="1CC94166" w14:textId="77777777" w:rsidTr="00997C38">
        <w:trPr>
          <w:trHeight w:val="340"/>
          <w:jc w:val="center"/>
        </w:trPr>
        <w:tc>
          <w:tcPr>
            <w:tcW w:w="2400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CBDB52C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13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4DC27F5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221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CF5CD14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43</w:t>
            </w:r>
          </w:p>
        </w:tc>
      </w:tr>
      <w:tr w:rsidR="00997C38" w:rsidRPr="00997C38" w14:paraId="33835832" w14:textId="77777777" w:rsidTr="00997C38">
        <w:trPr>
          <w:trHeight w:val="340"/>
          <w:jc w:val="center"/>
        </w:trPr>
        <w:tc>
          <w:tcPr>
            <w:tcW w:w="2400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FDEA451" w14:textId="77777777" w:rsidR="00997C38" w:rsidRPr="00997C38" w:rsidRDefault="00997C38" w:rsidP="00997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1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B52B574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568</w:t>
            </w:r>
          </w:p>
        </w:tc>
        <w:tc>
          <w:tcPr>
            <w:tcW w:w="2211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F081110" w14:textId="77777777" w:rsidR="00997C38" w:rsidRPr="00997C38" w:rsidRDefault="00997C38" w:rsidP="009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97C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124</w:t>
            </w:r>
          </w:p>
        </w:tc>
      </w:tr>
    </w:tbl>
    <w:p w14:paraId="531794FC" w14:textId="4ABB5E63" w:rsidR="00997C38" w:rsidRDefault="00997C38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6403F2AC" w14:textId="0D0A96E9" w:rsidR="00AF0E11" w:rsidRDefault="00AF0E11" w:rsidP="001A2D1A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lastRenderedPageBreak/>
        <w:t xml:space="preserve">Figura </w:t>
      </w:r>
      <w:r w:rsidR="00997C38">
        <w:rPr>
          <w:b/>
          <w:bCs/>
          <w:color w:val="00457D"/>
          <w:u w:color="00457D"/>
        </w:rPr>
        <w:t>5</w:t>
      </w:r>
      <w:r>
        <w:rPr>
          <w:b/>
          <w:bCs/>
          <w:color w:val="00457D"/>
          <w:u w:color="00457D"/>
        </w:rPr>
        <w:t xml:space="preserve">. </w:t>
      </w:r>
      <w:r w:rsidRPr="00AF0E11">
        <w:rPr>
          <w:b/>
          <w:bCs/>
          <w:color w:val="00457D"/>
          <w:u w:color="00457D"/>
        </w:rPr>
        <w:t>O</w:t>
      </w:r>
      <w:r>
        <w:rPr>
          <w:b/>
          <w:bCs/>
          <w:color w:val="00457D"/>
          <w:u w:color="00457D"/>
        </w:rPr>
        <w:t xml:space="preserve">spedali </w:t>
      </w:r>
      <w:r w:rsidRPr="00AF0E11">
        <w:rPr>
          <w:b/>
          <w:bCs/>
          <w:color w:val="00457D"/>
          <w:u w:color="00457D"/>
        </w:rPr>
        <w:t>d</w:t>
      </w:r>
      <w:r>
        <w:rPr>
          <w:b/>
          <w:bCs/>
          <w:color w:val="00457D"/>
          <w:u w:color="00457D"/>
        </w:rPr>
        <w:t xml:space="preserve">i </w:t>
      </w:r>
      <w:r w:rsidRPr="00AF0E11">
        <w:rPr>
          <w:b/>
          <w:bCs/>
          <w:color w:val="00457D"/>
          <w:u w:color="00457D"/>
        </w:rPr>
        <w:t>C</w:t>
      </w:r>
      <w:r>
        <w:rPr>
          <w:b/>
          <w:bCs/>
          <w:color w:val="00457D"/>
          <w:u w:color="00457D"/>
        </w:rPr>
        <w:t xml:space="preserve">omunità </w:t>
      </w:r>
      <w:r w:rsidRPr="00AF0E11">
        <w:rPr>
          <w:b/>
          <w:bCs/>
          <w:color w:val="00457D"/>
          <w:u w:color="00457D"/>
        </w:rPr>
        <w:t xml:space="preserve">con almeno un servizio dichiarato attivo </w:t>
      </w:r>
      <w:r>
        <w:rPr>
          <w:b/>
          <w:bCs/>
          <w:color w:val="00457D"/>
          <w:u w:color="00457D"/>
        </w:rPr>
        <w:t xml:space="preserve">in </w:t>
      </w:r>
      <w:r w:rsidR="00E517EF">
        <w:rPr>
          <w:b/>
          <w:bCs/>
          <w:color w:val="00457D"/>
          <w:u w:color="00457D"/>
        </w:rPr>
        <w:t xml:space="preserve">percentuale </w:t>
      </w:r>
      <w:r>
        <w:rPr>
          <w:b/>
          <w:bCs/>
          <w:color w:val="00457D"/>
          <w:u w:color="00457D"/>
        </w:rPr>
        <w:t>sul totale</w:t>
      </w:r>
      <w:r>
        <w:rPr>
          <w:b/>
          <w:bCs/>
          <w:color w:val="00457D"/>
          <w:u w:color="00457D"/>
        </w:rPr>
        <w:br/>
        <w:t>(dati Agenas al 20 dicembre 2024)</w:t>
      </w:r>
    </w:p>
    <w:p w14:paraId="2FB5CE7C" w14:textId="486ECFD2" w:rsidR="00AF0E11" w:rsidRDefault="00997C38" w:rsidP="001A2D1A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noProof/>
          <w:color w:val="00457D"/>
          <w:u w:color="00457D"/>
          <w:lang w:eastAsia="it-IT"/>
        </w:rPr>
        <w:drawing>
          <wp:inline distT="0" distB="0" distL="0" distR="0" wp14:anchorId="4E59CA54" wp14:editId="51562E7B">
            <wp:extent cx="5400000" cy="4771362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771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C65AE" w14:textId="01A34789" w:rsidR="00AF0E11" w:rsidRDefault="00AF0E11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5D4378B5" w14:textId="77777777" w:rsidR="00AF0E11" w:rsidRDefault="00AF0E11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04E3F981" w14:textId="6A4C2D34" w:rsidR="00A114BF" w:rsidRPr="00A114BF" w:rsidRDefault="00A114BF" w:rsidP="00A114BF">
      <w:pPr>
        <w:spacing w:after="0"/>
        <w:jc w:val="center"/>
        <w:rPr>
          <w:color w:val="00457D"/>
          <w:u w:color="00457D"/>
        </w:rPr>
      </w:pPr>
      <w:r>
        <w:rPr>
          <w:b/>
          <w:bCs/>
          <w:color w:val="00457D"/>
          <w:u w:color="00457D"/>
        </w:rPr>
        <w:lastRenderedPageBreak/>
        <w:t xml:space="preserve">Figura </w:t>
      </w:r>
      <w:r w:rsidR="0022021C">
        <w:rPr>
          <w:b/>
          <w:bCs/>
          <w:color w:val="00457D"/>
          <w:u w:color="00457D"/>
        </w:rPr>
        <w:t>6</w:t>
      </w:r>
      <w:r>
        <w:rPr>
          <w:b/>
          <w:bCs/>
          <w:color w:val="00457D"/>
          <w:u w:color="00457D"/>
        </w:rPr>
        <w:t xml:space="preserve">. Documenti disponibili nel FSE per Regione in </w:t>
      </w:r>
      <w:r w:rsidR="00E517EF">
        <w:rPr>
          <w:b/>
          <w:bCs/>
          <w:color w:val="00457D"/>
          <w:u w:color="00457D"/>
        </w:rPr>
        <w:t xml:space="preserve">percentuale </w:t>
      </w:r>
      <w:r>
        <w:rPr>
          <w:b/>
          <w:bCs/>
          <w:color w:val="00457D"/>
          <w:u w:color="00457D"/>
        </w:rPr>
        <w:t>sul totale</w:t>
      </w:r>
      <w:r>
        <w:rPr>
          <w:b/>
          <w:bCs/>
          <w:color w:val="00457D"/>
          <w:u w:color="00457D"/>
        </w:rPr>
        <w:br/>
      </w:r>
      <w:r w:rsidRPr="00CC37C1">
        <w:rPr>
          <w:b/>
          <w:color w:val="00457D"/>
          <w:u w:color="00457D"/>
        </w:rPr>
        <w:t>(dati Ministero della Salute e Dipartimento per la Trasformazione Digitale al 30 novembre 2024)</w:t>
      </w:r>
    </w:p>
    <w:p w14:paraId="38E7850F" w14:textId="77777777" w:rsidR="00A114BF" w:rsidRPr="00C62779" w:rsidRDefault="00A114BF" w:rsidP="00A114BF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noProof/>
          <w:color w:val="00457D"/>
          <w:u w:color="00457D"/>
          <w:lang w:eastAsia="it-IT"/>
        </w:rPr>
        <w:drawing>
          <wp:inline distT="0" distB="0" distL="0" distR="0" wp14:anchorId="24E856F5" wp14:editId="005CCBED">
            <wp:extent cx="5400000" cy="4910839"/>
            <wp:effectExtent l="0" t="0" r="0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910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64ABB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9F8B9CE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340B8DF3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637336FB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6D34613D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03100BFC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70BB9F38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63B8593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73C3F553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132ADF09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1BEA2672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05D560A3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39B2021B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256558EE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04FFF17A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07001B2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5BCEB766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5F93CC91" w14:textId="77777777" w:rsidR="00A114BF" w:rsidRDefault="00A114BF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22FCF0AA" w14:textId="77777777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21386C05" w14:textId="5672596A" w:rsidR="00894C0F" w:rsidRPr="00A114BF" w:rsidRDefault="00894C0F" w:rsidP="00894C0F">
      <w:pPr>
        <w:spacing w:after="0"/>
        <w:jc w:val="center"/>
        <w:rPr>
          <w:color w:val="00457D"/>
          <w:u w:color="00457D"/>
        </w:rPr>
      </w:pPr>
      <w:r>
        <w:rPr>
          <w:b/>
          <w:bCs/>
          <w:color w:val="00457D"/>
          <w:u w:color="00457D"/>
        </w:rPr>
        <w:lastRenderedPageBreak/>
        <w:t xml:space="preserve">Figura 7. </w:t>
      </w:r>
      <w:r w:rsidR="00902050" w:rsidRPr="00902050">
        <w:rPr>
          <w:b/>
          <w:bCs/>
          <w:color w:val="00457D"/>
          <w:u w:color="00457D"/>
        </w:rPr>
        <w:t>Cittadini che hanno espresso il consenso alla consultazione dei propri documenti</w:t>
      </w:r>
      <w:r>
        <w:rPr>
          <w:b/>
          <w:bCs/>
          <w:color w:val="00457D"/>
          <w:u w:color="00457D"/>
        </w:rPr>
        <w:br/>
      </w:r>
      <w:r w:rsidRPr="00CC37C1">
        <w:rPr>
          <w:b/>
          <w:color w:val="00457D"/>
          <w:u w:color="00457D"/>
        </w:rPr>
        <w:t>(dati Ministero della Salute e Dipartimento per la Trasformazione Digitale al 30 novembre 2024)</w:t>
      </w:r>
    </w:p>
    <w:p w14:paraId="69536DFE" w14:textId="726C50A2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31900E1A" w14:textId="42D2FC21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  <w:r>
        <w:rPr>
          <w:b/>
          <w:bCs/>
          <w:noProof/>
          <w:color w:val="00457D"/>
          <w:u w:color="00457D"/>
          <w:lang w:eastAsia="it-IT"/>
        </w:rPr>
        <w:drawing>
          <wp:inline distT="0" distB="0" distL="0" distR="0" wp14:anchorId="7ED82B6A" wp14:editId="0207592E">
            <wp:extent cx="5400000" cy="4640571"/>
            <wp:effectExtent l="0" t="0" r="0" b="825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640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C2D7C" w14:textId="6EF4D834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2174053" w14:textId="110B7D42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00D0FCEF" w14:textId="6C8419E3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22E21B18" w14:textId="57362FE0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54D77B24" w14:textId="699BFAF4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1FF74B8B" w14:textId="6D19D25C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12A7FC79" w14:textId="518D7AE8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3BB10507" w14:textId="111AA2DB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5E65FB5" w14:textId="31F28CC7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10F88F5" w14:textId="0C05F09B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5AEC165D" w14:textId="2E22E67F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0BF16185" w14:textId="4636D474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0813544" w14:textId="37E5445A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717BF195" w14:textId="3AEFC682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1B9F39ED" w14:textId="467E04A0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6B844B8F" w14:textId="4D539A32" w:rsidR="0022021C" w:rsidRDefault="0022021C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5EF7DBD" w14:textId="46524A3D" w:rsidR="00AF0E11" w:rsidRDefault="00AF0E11" w:rsidP="00894C0F">
      <w:pPr>
        <w:spacing w:after="0"/>
        <w:rPr>
          <w:b/>
          <w:bCs/>
          <w:color w:val="00457D"/>
          <w:u w:color="00457D"/>
        </w:rPr>
      </w:pPr>
    </w:p>
    <w:p w14:paraId="73930381" w14:textId="5F856DFB" w:rsidR="00AF0E11" w:rsidRDefault="00AF0E11" w:rsidP="001A2D1A">
      <w:pPr>
        <w:spacing w:after="0"/>
        <w:jc w:val="center"/>
        <w:rPr>
          <w:b/>
          <w:bCs/>
          <w:color w:val="00457D"/>
          <w:u w:color="00457D"/>
        </w:rPr>
      </w:pPr>
    </w:p>
    <w:sectPr w:rsidR="00AF0E11" w:rsidSect="00E13656">
      <w:head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6D7C" w14:textId="77777777" w:rsidR="004E34EB" w:rsidRDefault="004E34EB" w:rsidP="00ED0CFD">
      <w:pPr>
        <w:spacing w:after="0" w:line="240" w:lineRule="auto"/>
      </w:pPr>
      <w:r>
        <w:separator/>
      </w:r>
    </w:p>
  </w:endnote>
  <w:endnote w:type="continuationSeparator" w:id="0">
    <w:p w14:paraId="44DD4D7B" w14:textId="77777777" w:rsidR="004E34EB" w:rsidRDefault="004E34EB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02918" w14:textId="77777777" w:rsidR="004E34EB" w:rsidRDefault="004E34EB" w:rsidP="00ED0CFD">
      <w:pPr>
        <w:spacing w:after="0" w:line="240" w:lineRule="auto"/>
      </w:pPr>
      <w:r>
        <w:separator/>
      </w:r>
    </w:p>
  </w:footnote>
  <w:footnote w:type="continuationSeparator" w:id="0">
    <w:p w14:paraId="13EC839B" w14:textId="77777777" w:rsidR="004E34EB" w:rsidRDefault="004E34EB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ADAC" w14:textId="77777777" w:rsidR="00DF78AE" w:rsidRPr="002F600C" w:rsidRDefault="00DF78AE" w:rsidP="001E063C">
    <w:pPr>
      <w:pStyle w:val="Intestazione"/>
      <w:jc w:val="center"/>
      <w:rPr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F10"/>
    <w:multiLevelType w:val="hybridMultilevel"/>
    <w:tmpl w:val="1180DD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6166"/>
    <w:multiLevelType w:val="hybridMultilevel"/>
    <w:tmpl w:val="86E23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A3F0B"/>
    <w:multiLevelType w:val="multilevel"/>
    <w:tmpl w:val="A4642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57D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D3B04"/>
    <w:multiLevelType w:val="hybridMultilevel"/>
    <w:tmpl w:val="9884A6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92829"/>
    <w:multiLevelType w:val="hybridMultilevel"/>
    <w:tmpl w:val="A9CA4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C09CE"/>
    <w:multiLevelType w:val="hybridMultilevel"/>
    <w:tmpl w:val="989C4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8684C"/>
    <w:multiLevelType w:val="hybridMultilevel"/>
    <w:tmpl w:val="E14CD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D05463"/>
    <w:multiLevelType w:val="hybridMultilevel"/>
    <w:tmpl w:val="60E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132C9"/>
    <w:multiLevelType w:val="hybridMultilevel"/>
    <w:tmpl w:val="31CE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21"/>
  </w:num>
  <w:num w:numId="4">
    <w:abstractNumId w:val="36"/>
  </w:num>
  <w:num w:numId="5">
    <w:abstractNumId w:val="23"/>
  </w:num>
  <w:num w:numId="6">
    <w:abstractNumId w:val="19"/>
  </w:num>
  <w:num w:numId="7">
    <w:abstractNumId w:val="30"/>
  </w:num>
  <w:num w:numId="8">
    <w:abstractNumId w:val="28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25"/>
  </w:num>
  <w:num w:numId="14">
    <w:abstractNumId w:val="9"/>
  </w:num>
  <w:num w:numId="15">
    <w:abstractNumId w:val="24"/>
  </w:num>
  <w:num w:numId="16">
    <w:abstractNumId w:val="38"/>
  </w:num>
  <w:num w:numId="17">
    <w:abstractNumId w:val="22"/>
  </w:num>
  <w:num w:numId="18">
    <w:abstractNumId w:val="17"/>
  </w:num>
  <w:num w:numId="19">
    <w:abstractNumId w:val="34"/>
  </w:num>
  <w:num w:numId="20">
    <w:abstractNumId w:val="29"/>
  </w:num>
  <w:num w:numId="21">
    <w:abstractNumId w:val="8"/>
  </w:num>
  <w:num w:numId="22">
    <w:abstractNumId w:val="26"/>
  </w:num>
  <w:num w:numId="23">
    <w:abstractNumId w:val="18"/>
  </w:num>
  <w:num w:numId="24">
    <w:abstractNumId w:val="11"/>
  </w:num>
  <w:num w:numId="25">
    <w:abstractNumId w:val="4"/>
  </w:num>
  <w:num w:numId="26">
    <w:abstractNumId w:val="14"/>
  </w:num>
  <w:num w:numId="27">
    <w:abstractNumId w:val="37"/>
  </w:num>
  <w:num w:numId="28">
    <w:abstractNumId w:val="27"/>
  </w:num>
  <w:num w:numId="29">
    <w:abstractNumId w:val="0"/>
  </w:num>
  <w:num w:numId="30">
    <w:abstractNumId w:val="10"/>
  </w:num>
  <w:num w:numId="31">
    <w:abstractNumId w:val="39"/>
  </w:num>
  <w:num w:numId="32">
    <w:abstractNumId w:val="16"/>
  </w:num>
  <w:num w:numId="33">
    <w:abstractNumId w:val="3"/>
  </w:num>
  <w:num w:numId="34">
    <w:abstractNumId w:val="33"/>
  </w:num>
  <w:num w:numId="35">
    <w:abstractNumId w:val="32"/>
  </w:num>
  <w:num w:numId="36">
    <w:abstractNumId w:val="15"/>
  </w:num>
  <w:num w:numId="37">
    <w:abstractNumId w:val="31"/>
  </w:num>
  <w:num w:numId="38">
    <w:abstractNumId w:val="1"/>
  </w:num>
  <w:num w:numId="39">
    <w:abstractNumId w:val="20"/>
  </w:num>
  <w:num w:numId="40">
    <w:abstractNumId w:val="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7A8"/>
    <w:rsid w:val="00001AEF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073CA"/>
    <w:rsid w:val="000075AE"/>
    <w:rsid w:val="00010498"/>
    <w:rsid w:val="000104C4"/>
    <w:rsid w:val="0001114E"/>
    <w:rsid w:val="00011D92"/>
    <w:rsid w:val="00011DB9"/>
    <w:rsid w:val="000123C4"/>
    <w:rsid w:val="000131FB"/>
    <w:rsid w:val="0001384A"/>
    <w:rsid w:val="000138E2"/>
    <w:rsid w:val="00013DFA"/>
    <w:rsid w:val="0001439D"/>
    <w:rsid w:val="00015D8E"/>
    <w:rsid w:val="00016F94"/>
    <w:rsid w:val="000170A8"/>
    <w:rsid w:val="00017968"/>
    <w:rsid w:val="00017FB4"/>
    <w:rsid w:val="0002141B"/>
    <w:rsid w:val="00021D7F"/>
    <w:rsid w:val="00023A72"/>
    <w:rsid w:val="00023D8A"/>
    <w:rsid w:val="000252D2"/>
    <w:rsid w:val="00025B9B"/>
    <w:rsid w:val="00026DA8"/>
    <w:rsid w:val="00027762"/>
    <w:rsid w:val="00032FB7"/>
    <w:rsid w:val="00033D6A"/>
    <w:rsid w:val="00034188"/>
    <w:rsid w:val="000346D7"/>
    <w:rsid w:val="00035404"/>
    <w:rsid w:val="00035C47"/>
    <w:rsid w:val="00036089"/>
    <w:rsid w:val="0003724E"/>
    <w:rsid w:val="0004091F"/>
    <w:rsid w:val="00042A09"/>
    <w:rsid w:val="00042B09"/>
    <w:rsid w:val="0004410A"/>
    <w:rsid w:val="00044197"/>
    <w:rsid w:val="00051F7A"/>
    <w:rsid w:val="0005402C"/>
    <w:rsid w:val="00054250"/>
    <w:rsid w:val="00055180"/>
    <w:rsid w:val="00055471"/>
    <w:rsid w:val="00055AE9"/>
    <w:rsid w:val="00055D27"/>
    <w:rsid w:val="000602AA"/>
    <w:rsid w:val="00061033"/>
    <w:rsid w:val="000615B8"/>
    <w:rsid w:val="0006218B"/>
    <w:rsid w:val="0006440E"/>
    <w:rsid w:val="000657A8"/>
    <w:rsid w:val="000662E3"/>
    <w:rsid w:val="00067ACA"/>
    <w:rsid w:val="00067B8F"/>
    <w:rsid w:val="000707B3"/>
    <w:rsid w:val="00070C28"/>
    <w:rsid w:val="00070D04"/>
    <w:rsid w:val="000715A9"/>
    <w:rsid w:val="00071F0A"/>
    <w:rsid w:val="000720DE"/>
    <w:rsid w:val="00073870"/>
    <w:rsid w:val="00074788"/>
    <w:rsid w:val="000751C3"/>
    <w:rsid w:val="00075BA4"/>
    <w:rsid w:val="00075FE6"/>
    <w:rsid w:val="000767AE"/>
    <w:rsid w:val="00076A48"/>
    <w:rsid w:val="00076C59"/>
    <w:rsid w:val="000771A4"/>
    <w:rsid w:val="000815B7"/>
    <w:rsid w:val="00081788"/>
    <w:rsid w:val="00085590"/>
    <w:rsid w:val="000863FA"/>
    <w:rsid w:val="000875D1"/>
    <w:rsid w:val="00090A39"/>
    <w:rsid w:val="00090B7E"/>
    <w:rsid w:val="00090CF8"/>
    <w:rsid w:val="000910E1"/>
    <w:rsid w:val="000927C7"/>
    <w:rsid w:val="000935F1"/>
    <w:rsid w:val="00093756"/>
    <w:rsid w:val="000941D8"/>
    <w:rsid w:val="00095589"/>
    <w:rsid w:val="000A0FC3"/>
    <w:rsid w:val="000A1367"/>
    <w:rsid w:val="000A145D"/>
    <w:rsid w:val="000A15DB"/>
    <w:rsid w:val="000A2084"/>
    <w:rsid w:val="000A226B"/>
    <w:rsid w:val="000A47FF"/>
    <w:rsid w:val="000A5363"/>
    <w:rsid w:val="000A55FA"/>
    <w:rsid w:val="000A58EB"/>
    <w:rsid w:val="000A62A9"/>
    <w:rsid w:val="000A74DB"/>
    <w:rsid w:val="000A78E3"/>
    <w:rsid w:val="000A7B66"/>
    <w:rsid w:val="000A7EA1"/>
    <w:rsid w:val="000B07B0"/>
    <w:rsid w:val="000B10CE"/>
    <w:rsid w:val="000B15C0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5D19"/>
    <w:rsid w:val="000C6130"/>
    <w:rsid w:val="000C6F74"/>
    <w:rsid w:val="000D027D"/>
    <w:rsid w:val="000D02E4"/>
    <w:rsid w:val="000D1377"/>
    <w:rsid w:val="000D17FB"/>
    <w:rsid w:val="000D25AC"/>
    <w:rsid w:val="000D28D8"/>
    <w:rsid w:val="000D3C58"/>
    <w:rsid w:val="000D44D4"/>
    <w:rsid w:val="000D5771"/>
    <w:rsid w:val="000D5893"/>
    <w:rsid w:val="000D7252"/>
    <w:rsid w:val="000D7A72"/>
    <w:rsid w:val="000E1176"/>
    <w:rsid w:val="000E27C9"/>
    <w:rsid w:val="000E2E4F"/>
    <w:rsid w:val="000E3E10"/>
    <w:rsid w:val="000E45D2"/>
    <w:rsid w:val="000E45E5"/>
    <w:rsid w:val="000E4A4B"/>
    <w:rsid w:val="000E5ABF"/>
    <w:rsid w:val="000E64D7"/>
    <w:rsid w:val="000E6B01"/>
    <w:rsid w:val="000E7CC2"/>
    <w:rsid w:val="000F0BBD"/>
    <w:rsid w:val="000F10F8"/>
    <w:rsid w:val="000F1B54"/>
    <w:rsid w:val="000F1DE1"/>
    <w:rsid w:val="000F2AE1"/>
    <w:rsid w:val="000F39EF"/>
    <w:rsid w:val="000F5C0F"/>
    <w:rsid w:val="000F607E"/>
    <w:rsid w:val="000F662C"/>
    <w:rsid w:val="000F756B"/>
    <w:rsid w:val="0010059E"/>
    <w:rsid w:val="001020FC"/>
    <w:rsid w:val="00102701"/>
    <w:rsid w:val="001035E4"/>
    <w:rsid w:val="001043DB"/>
    <w:rsid w:val="00104A66"/>
    <w:rsid w:val="001056AE"/>
    <w:rsid w:val="0010685E"/>
    <w:rsid w:val="00107096"/>
    <w:rsid w:val="00107293"/>
    <w:rsid w:val="00107984"/>
    <w:rsid w:val="001106B1"/>
    <w:rsid w:val="0011205F"/>
    <w:rsid w:val="00112B52"/>
    <w:rsid w:val="00113646"/>
    <w:rsid w:val="001139A6"/>
    <w:rsid w:val="00113D4A"/>
    <w:rsid w:val="00113F3C"/>
    <w:rsid w:val="00114F21"/>
    <w:rsid w:val="0011544D"/>
    <w:rsid w:val="001167D9"/>
    <w:rsid w:val="0011796A"/>
    <w:rsid w:val="00117F68"/>
    <w:rsid w:val="00120E4A"/>
    <w:rsid w:val="00121DE9"/>
    <w:rsid w:val="00122425"/>
    <w:rsid w:val="00122BEB"/>
    <w:rsid w:val="00125838"/>
    <w:rsid w:val="0012584B"/>
    <w:rsid w:val="00125C6A"/>
    <w:rsid w:val="00126025"/>
    <w:rsid w:val="001262A5"/>
    <w:rsid w:val="00126E63"/>
    <w:rsid w:val="00127A78"/>
    <w:rsid w:val="00130CEF"/>
    <w:rsid w:val="001317CF"/>
    <w:rsid w:val="00132082"/>
    <w:rsid w:val="00134C8C"/>
    <w:rsid w:val="001352A1"/>
    <w:rsid w:val="00135A2A"/>
    <w:rsid w:val="00136F1C"/>
    <w:rsid w:val="001371BB"/>
    <w:rsid w:val="001374E5"/>
    <w:rsid w:val="00140E6B"/>
    <w:rsid w:val="00141180"/>
    <w:rsid w:val="001412DC"/>
    <w:rsid w:val="0014334C"/>
    <w:rsid w:val="00143689"/>
    <w:rsid w:val="00143B8D"/>
    <w:rsid w:val="00144F94"/>
    <w:rsid w:val="001453D6"/>
    <w:rsid w:val="001458FE"/>
    <w:rsid w:val="001471AF"/>
    <w:rsid w:val="001476E9"/>
    <w:rsid w:val="00147FB0"/>
    <w:rsid w:val="001504F4"/>
    <w:rsid w:val="00150EF3"/>
    <w:rsid w:val="00151D12"/>
    <w:rsid w:val="0015229D"/>
    <w:rsid w:val="00154DE0"/>
    <w:rsid w:val="001560D3"/>
    <w:rsid w:val="00156B6C"/>
    <w:rsid w:val="0016000A"/>
    <w:rsid w:val="00160151"/>
    <w:rsid w:val="00161B06"/>
    <w:rsid w:val="00162FBC"/>
    <w:rsid w:val="0016375C"/>
    <w:rsid w:val="00163D48"/>
    <w:rsid w:val="00163DB0"/>
    <w:rsid w:val="001644BA"/>
    <w:rsid w:val="001654A5"/>
    <w:rsid w:val="0016576E"/>
    <w:rsid w:val="00166FDA"/>
    <w:rsid w:val="00170760"/>
    <w:rsid w:val="00170B46"/>
    <w:rsid w:val="00170EAC"/>
    <w:rsid w:val="0017107F"/>
    <w:rsid w:val="00171767"/>
    <w:rsid w:val="00173764"/>
    <w:rsid w:val="0017405D"/>
    <w:rsid w:val="0017470D"/>
    <w:rsid w:val="001748BA"/>
    <w:rsid w:val="001764B0"/>
    <w:rsid w:val="0018031C"/>
    <w:rsid w:val="00181CE6"/>
    <w:rsid w:val="00181DF1"/>
    <w:rsid w:val="00185966"/>
    <w:rsid w:val="00185BF4"/>
    <w:rsid w:val="001905C9"/>
    <w:rsid w:val="00191727"/>
    <w:rsid w:val="001918DF"/>
    <w:rsid w:val="00192B35"/>
    <w:rsid w:val="00192DAD"/>
    <w:rsid w:val="00192F75"/>
    <w:rsid w:val="00193C55"/>
    <w:rsid w:val="00193F19"/>
    <w:rsid w:val="00194C03"/>
    <w:rsid w:val="001A1CFC"/>
    <w:rsid w:val="001A1E5B"/>
    <w:rsid w:val="001A1EBA"/>
    <w:rsid w:val="001A2449"/>
    <w:rsid w:val="001A2D1A"/>
    <w:rsid w:val="001A2F98"/>
    <w:rsid w:val="001A3E0D"/>
    <w:rsid w:val="001A3E96"/>
    <w:rsid w:val="001A6181"/>
    <w:rsid w:val="001A7017"/>
    <w:rsid w:val="001A73CD"/>
    <w:rsid w:val="001A76F9"/>
    <w:rsid w:val="001B1850"/>
    <w:rsid w:val="001B46A1"/>
    <w:rsid w:val="001B59E3"/>
    <w:rsid w:val="001B715B"/>
    <w:rsid w:val="001C0EFC"/>
    <w:rsid w:val="001C3129"/>
    <w:rsid w:val="001C44CB"/>
    <w:rsid w:val="001C51E2"/>
    <w:rsid w:val="001C5A38"/>
    <w:rsid w:val="001C5A39"/>
    <w:rsid w:val="001C7324"/>
    <w:rsid w:val="001D0114"/>
    <w:rsid w:val="001D0698"/>
    <w:rsid w:val="001D0E41"/>
    <w:rsid w:val="001D153D"/>
    <w:rsid w:val="001D19F1"/>
    <w:rsid w:val="001D240E"/>
    <w:rsid w:val="001D2DF2"/>
    <w:rsid w:val="001D2E25"/>
    <w:rsid w:val="001D38B9"/>
    <w:rsid w:val="001D3F96"/>
    <w:rsid w:val="001D433E"/>
    <w:rsid w:val="001D4CE8"/>
    <w:rsid w:val="001D5972"/>
    <w:rsid w:val="001D7259"/>
    <w:rsid w:val="001E0630"/>
    <w:rsid w:val="001E063C"/>
    <w:rsid w:val="001E0D38"/>
    <w:rsid w:val="001E206E"/>
    <w:rsid w:val="001E42B9"/>
    <w:rsid w:val="001E53AB"/>
    <w:rsid w:val="001E5654"/>
    <w:rsid w:val="001E6902"/>
    <w:rsid w:val="001E7855"/>
    <w:rsid w:val="001F1C35"/>
    <w:rsid w:val="001F20B8"/>
    <w:rsid w:val="001F6403"/>
    <w:rsid w:val="001F7276"/>
    <w:rsid w:val="0020092D"/>
    <w:rsid w:val="002020DB"/>
    <w:rsid w:val="00202A01"/>
    <w:rsid w:val="0020319A"/>
    <w:rsid w:val="0020435A"/>
    <w:rsid w:val="00204462"/>
    <w:rsid w:val="00206047"/>
    <w:rsid w:val="0020636A"/>
    <w:rsid w:val="002073BD"/>
    <w:rsid w:val="002076DB"/>
    <w:rsid w:val="00207B90"/>
    <w:rsid w:val="00210158"/>
    <w:rsid w:val="00210584"/>
    <w:rsid w:val="0021155E"/>
    <w:rsid w:val="0021408F"/>
    <w:rsid w:val="0022021C"/>
    <w:rsid w:val="00220A26"/>
    <w:rsid w:val="00220D5F"/>
    <w:rsid w:val="0022389A"/>
    <w:rsid w:val="00223C03"/>
    <w:rsid w:val="00223F01"/>
    <w:rsid w:val="00223F25"/>
    <w:rsid w:val="00224E88"/>
    <w:rsid w:val="0022532C"/>
    <w:rsid w:val="00226140"/>
    <w:rsid w:val="0023017D"/>
    <w:rsid w:val="00231196"/>
    <w:rsid w:val="00231540"/>
    <w:rsid w:val="002319C0"/>
    <w:rsid w:val="00231ECC"/>
    <w:rsid w:val="00231F4A"/>
    <w:rsid w:val="00233A2C"/>
    <w:rsid w:val="00233EF5"/>
    <w:rsid w:val="002349C3"/>
    <w:rsid w:val="00234FBF"/>
    <w:rsid w:val="002357E8"/>
    <w:rsid w:val="00235FC2"/>
    <w:rsid w:val="0023767D"/>
    <w:rsid w:val="0023771D"/>
    <w:rsid w:val="0024135E"/>
    <w:rsid w:val="00241828"/>
    <w:rsid w:val="00241E9C"/>
    <w:rsid w:val="00242077"/>
    <w:rsid w:val="00243836"/>
    <w:rsid w:val="00243B76"/>
    <w:rsid w:val="00243F05"/>
    <w:rsid w:val="00244AF6"/>
    <w:rsid w:val="0024623B"/>
    <w:rsid w:val="00247D33"/>
    <w:rsid w:val="0025100A"/>
    <w:rsid w:val="00251386"/>
    <w:rsid w:val="00251A17"/>
    <w:rsid w:val="00251AC2"/>
    <w:rsid w:val="00251D02"/>
    <w:rsid w:val="00252E47"/>
    <w:rsid w:val="002534BD"/>
    <w:rsid w:val="002544AA"/>
    <w:rsid w:val="002551A1"/>
    <w:rsid w:val="00255DB8"/>
    <w:rsid w:val="002576D2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6703C"/>
    <w:rsid w:val="00270DED"/>
    <w:rsid w:val="00271ADD"/>
    <w:rsid w:val="002723FC"/>
    <w:rsid w:val="00273946"/>
    <w:rsid w:val="0027468B"/>
    <w:rsid w:val="002759CD"/>
    <w:rsid w:val="00277B9D"/>
    <w:rsid w:val="00277F16"/>
    <w:rsid w:val="00280EA3"/>
    <w:rsid w:val="00281907"/>
    <w:rsid w:val="00282655"/>
    <w:rsid w:val="00282DAE"/>
    <w:rsid w:val="00282E85"/>
    <w:rsid w:val="00284792"/>
    <w:rsid w:val="00286283"/>
    <w:rsid w:val="00287105"/>
    <w:rsid w:val="00287452"/>
    <w:rsid w:val="00290CC2"/>
    <w:rsid w:val="00291602"/>
    <w:rsid w:val="00293854"/>
    <w:rsid w:val="0029392F"/>
    <w:rsid w:val="00293D0A"/>
    <w:rsid w:val="0029425C"/>
    <w:rsid w:val="00295866"/>
    <w:rsid w:val="00296F33"/>
    <w:rsid w:val="00297583"/>
    <w:rsid w:val="002A2034"/>
    <w:rsid w:val="002A3232"/>
    <w:rsid w:val="002A3622"/>
    <w:rsid w:val="002A41A8"/>
    <w:rsid w:val="002A5A93"/>
    <w:rsid w:val="002B043D"/>
    <w:rsid w:val="002B04B9"/>
    <w:rsid w:val="002B0FB4"/>
    <w:rsid w:val="002B12E6"/>
    <w:rsid w:val="002B1329"/>
    <w:rsid w:val="002B2105"/>
    <w:rsid w:val="002B57EE"/>
    <w:rsid w:val="002B63E5"/>
    <w:rsid w:val="002B7295"/>
    <w:rsid w:val="002B7483"/>
    <w:rsid w:val="002B753A"/>
    <w:rsid w:val="002B7C26"/>
    <w:rsid w:val="002B7F03"/>
    <w:rsid w:val="002C0B56"/>
    <w:rsid w:val="002C0B93"/>
    <w:rsid w:val="002C0D67"/>
    <w:rsid w:val="002C0D78"/>
    <w:rsid w:val="002C0F1B"/>
    <w:rsid w:val="002C11E2"/>
    <w:rsid w:val="002C22CC"/>
    <w:rsid w:val="002C2FB0"/>
    <w:rsid w:val="002C4190"/>
    <w:rsid w:val="002C433C"/>
    <w:rsid w:val="002C4460"/>
    <w:rsid w:val="002C5187"/>
    <w:rsid w:val="002C5517"/>
    <w:rsid w:val="002C58CC"/>
    <w:rsid w:val="002C6CDA"/>
    <w:rsid w:val="002D0078"/>
    <w:rsid w:val="002D1354"/>
    <w:rsid w:val="002D1A9D"/>
    <w:rsid w:val="002D1CBC"/>
    <w:rsid w:val="002D2C39"/>
    <w:rsid w:val="002D390F"/>
    <w:rsid w:val="002D4273"/>
    <w:rsid w:val="002D4CBE"/>
    <w:rsid w:val="002D4D2D"/>
    <w:rsid w:val="002D513D"/>
    <w:rsid w:val="002D61E1"/>
    <w:rsid w:val="002D62AC"/>
    <w:rsid w:val="002D71AE"/>
    <w:rsid w:val="002D7409"/>
    <w:rsid w:val="002E0878"/>
    <w:rsid w:val="002E237A"/>
    <w:rsid w:val="002E2D66"/>
    <w:rsid w:val="002E33A2"/>
    <w:rsid w:val="002E3609"/>
    <w:rsid w:val="002E384A"/>
    <w:rsid w:val="002E3D4B"/>
    <w:rsid w:val="002E431F"/>
    <w:rsid w:val="002E5382"/>
    <w:rsid w:val="002E5E3C"/>
    <w:rsid w:val="002E6992"/>
    <w:rsid w:val="002F07F4"/>
    <w:rsid w:val="002F2E6A"/>
    <w:rsid w:val="002F323D"/>
    <w:rsid w:val="002F4228"/>
    <w:rsid w:val="002F570C"/>
    <w:rsid w:val="002F600C"/>
    <w:rsid w:val="002F605D"/>
    <w:rsid w:val="002F673A"/>
    <w:rsid w:val="00300100"/>
    <w:rsid w:val="00300EF7"/>
    <w:rsid w:val="0030187D"/>
    <w:rsid w:val="00301A08"/>
    <w:rsid w:val="003029E5"/>
    <w:rsid w:val="00303650"/>
    <w:rsid w:val="0030437B"/>
    <w:rsid w:val="00305113"/>
    <w:rsid w:val="003073E7"/>
    <w:rsid w:val="00310511"/>
    <w:rsid w:val="00310654"/>
    <w:rsid w:val="003116B6"/>
    <w:rsid w:val="00311E5C"/>
    <w:rsid w:val="003121F3"/>
    <w:rsid w:val="00312580"/>
    <w:rsid w:val="00313AD1"/>
    <w:rsid w:val="00315407"/>
    <w:rsid w:val="00315734"/>
    <w:rsid w:val="00315C21"/>
    <w:rsid w:val="0031648A"/>
    <w:rsid w:val="0031755E"/>
    <w:rsid w:val="003210E2"/>
    <w:rsid w:val="00321C3D"/>
    <w:rsid w:val="00322567"/>
    <w:rsid w:val="00323333"/>
    <w:rsid w:val="00323798"/>
    <w:rsid w:val="00323A55"/>
    <w:rsid w:val="00324D49"/>
    <w:rsid w:val="00325E98"/>
    <w:rsid w:val="003268D1"/>
    <w:rsid w:val="00326ABC"/>
    <w:rsid w:val="00326DCF"/>
    <w:rsid w:val="00327726"/>
    <w:rsid w:val="00327AF0"/>
    <w:rsid w:val="00327D9D"/>
    <w:rsid w:val="00330694"/>
    <w:rsid w:val="00330A9B"/>
    <w:rsid w:val="00331B49"/>
    <w:rsid w:val="00331E85"/>
    <w:rsid w:val="00331F29"/>
    <w:rsid w:val="003331B5"/>
    <w:rsid w:val="00333A1D"/>
    <w:rsid w:val="0033460B"/>
    <w:rsid w:val="00334F92"/>
    <w:rsid w:val="00335E0B"/>
    <w:rsid w:val="003369A2"/>
    <w:rsid w:val="0033752D"/>
    <w:rsid w:val="00341267"/>
    <w:rsid w:val="0034210D"/>
    <w:rsid w:val="0034291E"/>
    <w:rsid w:val="0034373E"/>
    <w:rsid w:val="003456F8"/>
    <w:rsid w:val="00345BE3"/>
    <w:rsid w:val="00346324"/>
    <w:rsid w:val="0034676D"/>
    <w:rsid w:val="0034685B"/>
    <w:rsid w:val="00347675"/>
    <w:rsid w:val="00347BD4"/>
    <w:rsid w:val="00347CD5"/>
    <w:rsid w:val="00350B80"/>
    <w:rsid w:val="00351462"/>
    <w:rsid w:val="003525B9"/>
    <w:rsid w:val="00353AC9"/>
    <w:rsid w:val="00353E36"/>
    <w:rsid w:val="00354809"/>
    <w:rsid w:val="00354ACD"/>
    <w:rsid w:val="00354FE6"/>
    <w:rsid w:val="003554E0"/>
    <w:rsid w:val="00355DBF"/>
    <w:rsid w:val="003564AC"/>
    <w:rsid w:val="003576FF"/>
    <w:rsid w:val="00357F80"/>
    <w:rsid w:val="00357FE6"/>
    <w:rsid w:val="00361A34"/>
    <w:rsid w:val="0036304D"/>
    <w:rsid w:val="003631B2"/>
    <w:rsid w:val="00363764"/>
    <w:rsid w:val="00363A22"/>
    <w:rsid w:val="00363BEB"/>
    <w:rsid w:val="0036462F"/>
    <w:rsid w:val="00364A2E"/>
    <w:rsid w:val="00367A4B"/>
    <w:rsid w:val="00370AC5"/>
    <w:rsid w:val="0037110C"/>
    <w:rsid w:val="00372887"/>
    <w:rsid w:val="00373EDC"/>
    <w:rsid w:val="00374152"/>
    <w:rsid w:val="00374404"/>
    <w:rsid w:val="00375A29"/>
    <w:rsid w:val="00375C4D"/>
    <w:rsid w:val="00377841"/>
    <w:rsid w:val="00380A73"/>
    <w:rsid w:val="00382D34"/>
    <w:rsid w:val="00382F29"/>
    <w:rsid w:val="00384AF1"/>
    <w:rsid w:val="00385A79"/>
    <w:rsid w:val="00386385"/>
    <w:rsid w:val="00386AB6"/>
    <w:rsid w:val="00387555"/>
    <w:rsid w:val="00387B85"/>
    <w:rsid w:val="0039006E"/>
    <w:rsid w:val="0039018B"/>
    <w:rsid w:val="00391AD2"/>
    <w:rsid w:val="003930FC"/>
    <w:rsid w:val="00393B9D"/>
    <w:rsid w:val="00394823"/>
    <w:rsid w:val="003955A0"/>
    <w:rsid w:val="00395AE5"/>
    <w:rsid w:val="003978DA"/>
    <w:rsid w:val="0039792C"/>
    <w:rsid w:val="003A13B4"/>
    <w:rsid w:val="003A35AF"/>
    <w:rsid w:val="003A47A3"/>
    <w:rsid w:val="003A72AE"/>
    <w:rsid w:val="003A7751"/>
    <w:rsid w:val="003B022A"/>
    <w:rsid w:val="003B1262"/>
    <w:rsid w:val="003B4A8D"/>
    <w:rsid w:val="003B4EE9"/>
    <w:rsid w:val="003B5D7A"/>
    <w:rsid w:val="003B6249"/>
    <w:rsid w:val="003B72C4"/>
    <w:rsid w:val="003C0E1C"/>
    <w:rsid w:val="003C1D40"/>
    <w:rsid w:val="003C276B"/>
    <w:rsid w:val="003C3908"/>
    <w:rsid w:val="003C3A13"/>
    <w:rsid w:val="003C48B6"/>
    <w:rsid w:val="003C5DE1"/>
    <w:rsid w:val="003C6A47"/>
    <w:rsid w:val="003C7C89"/>
    <w:rsid w:val="003C7FD9"/>
    <w:rsid w:val="003D1B7D"/>
    <w:rsid w:val="003D3C41"/>
    <w:rsid w:val="003D4318"/>
    <w:rsid w:val="003D46C1"/>
    <w:rsid w:val="003D4D70"/>
    <w:rsid w:val="003D542E"/>
    <w:rsid w:val="003D6140"/>
    <w:rsid w:val="003D6197"/>
    <w:rsid w:val="003D6200"/>
    <w:rsid w:val="003D66C8"/>
    <w:rsid w:val="003D6B2B"/>
    <w:rsid w:val="003D7709"/>
    <w:rsid w:val="003D79C2"/>
    <w:rsid w:val="003D7D5D"/>
    <w:rsid w:val="003E0375"/>
    <w:rsid w:val="003E1CA7"/>
    <w:rsid w:val="003E2B21"/>
    <w:rsid w:val="003E4422"/>
    <w:rsid w:val="003E4FF7"/>
    <w:rsid w:val="003E7278"/>
    <w:rsid w:val="003F0B7E"/>
    <w:rsid w:val="003F1131"/>
    <w:rsid w:val="003F1AAC"/>
    <w:rsid w:val="003F35EF"/>
    <w:rsid w:val="003F3B35"/>
    <w:rsid w:val="003F470F"/>
    <w:rsid w:val="003F6562"/>
    <w:rsid w:val="0040121C"/>
    <w:rsid w:val="00401805"/>
    <w:rsid w:val="004032D5"/>
    <w:rsid w:val="004052B2"/>
    <w:rsid w:val="00405C0C"/>
    <w:rsid w:val="00405E87"/>
    <w:rsid w:val="00405FC1"/>
    <w:rsid w:val="00406F3A"/>
    <w:rsid w:val="00407296"/>
    <w:rsid w:val="00407626"/>
    <w:rsid w:val="00410B6F"/>
    <w:rsid w:val="004120E8"/>
    <w:rsid w:val="00412253"/>
    <w:rsid w:val="00413ABB"/>
    <w:rsid w:val="0041478D"/>
    <w:rsid w:val="00415770"/>
    <w:rsid w:val="00415FC6"/>
    <w:rsid w:val="00416528"/>
    <w:rsid w:val="004179EB"/>
    <w:rsid w:val="00417D4C"/>
    <w:rsid w:val="00421292"/>
    <w:rsid w:val="00422A54"/>
    <w:rsid w:val="00422C62"/>
    <w:rsid w:val="0042339B"/>
    <w:rsid w:val="00425B8D"/>
    <w:rsid w:val="00426075"/>
    <w:rsid w:val="004261F6"/>
    <w:rsid w:val="00426711"/>
    <w:rsid w:val="00430270"/>
    <w:rsid w:val="004303BA"/>
    <w:rsid w:val="004310BA"/>
    <w:rsid w:val="00432270"/>
    <w:rsid w:val="00434060"/>
    <w:rsid w:val="00434D32"/>
    <w:rsid w:val="00435342"/>
    <w:rsid w:val="00435A75"/>
    <w:rsid w:val="00436E44"/>
    <w:rsid w:val="00437173"/>
    <w:rsid w:val="0044012A"/>
    <w:rsid w:val="004409EE"/>
    <w:rsid w:val="00441D52"/>
    <w:rsid w:val="00442312"/>
    <w:rsid w:val="004424DA"/>
    <w:rsid w:val="004432F6"/>
    <w:rsid w:val="004446C5"/>
    <w:rsid w:val="00445219"/>
    <w:rsid w:val="004452B6"/>
    <w:rsid w:val="004469F9"/>
    <w:rsid w:val="00446B2D"/>
    <w:rsid w:val="00446F85"/>
    <w:rsid w:val="004479EA"/>
    <w:rsid w:val="00450B02"/>
    <w:rsid w:val="00451586"/>
    <w:rsid w:val="00451615"/>
    <w:rsid w:val="004520DA"/>
    <w:rsid w:val="004522B4"/>
    <w:rsid w:val="00452891"/>
    <w:rsid w:val="00452900"/>
    <w:rsid w:val="00452A5B"/>
    <w:rsid w:val="00452CED"/>
    <w:rsid w:val="00452FE4"/>
    <w:rsid w:val="00453087"/>
    <w:rsid w:val="00453189"/>
    <w:rsid w:val="00454813"/>
    <w:rsid w:val="004569A2"/>
    <w:rsid w:val="00456AC9"/>
    <w:rsid w:val="004619D4"/>
    <w:rsid w:val="00461BFF"/>
    <w:rsid w:val="00461DF8"/>
    <w:rsid w:val="0046257E"/>
    <w:rsid w:val="004642C0"/>
    <w:rsid w:val="0046775E"/>
    <w:rsid w:val="004677F7"/>
    <w:rsid w:val="004708E3"/>
    <w:rsid w:val="00470D92"/>
    <w:rsid w:val="00471EC0"/>
    <w:rsid w:val="00472492"/>
    <w:rsid w:val="00473A8D"/>
    <w:rsid w:val="004746D8"/>
    <w:rsid w:val="00475510"/>
    <w:rsid w:val="0047586E"/>
    <w:rsid w:val="00475D67"/>
    <w:rsid w:val="00477A2F"/>
    <w:rsid w:val="00477CEA"/>
    <w:rsid w:val="00480E9D"/>
    <w:rsid w:val="00481867"/>
    <w:rsid w:val="00485168"/>
    <w:rsid w:val="004851ED"/>
    <w:rsid w:val="0048588A"/>
    <w:rsid w:val="004859D0"/>
    <w:rsid w:val="00487ED9"/>
    <w:rsid w:val="00490397"/>
    <w:rsid w:val="00490692"/>
    <w:rsid w:val="00492663"/>
    <w:rsid w:val="0049307B"/>
    <w:rsid w:val="00494894"/>
    <w:rsid w:val="004948F3"/>
    <w:rsid w:val="00495276"/>
    <w:rsid w:val="004952D7"/>
    <w:rsid w:val="00495F6A"/>
    <w:rsid w:val="00496108"/>
    <w:rsid w:val="00496192"/>
    <w:rsid w:val="00496EAF"/>
    <w:rsid w:val="00497373"/>
    <w:rsid w:val="00497B08"/>
    <w:rsid w:val="00497F41"/>
    <w:rsid w:val="004A0830"/>
    <w:rsid w:val="004A0E05"/>
    <w:rsid w:val="004A11C7"/>
    <w:rsid w:val="004A18D7"/>
    <w:rsid w:val="004A1B26"/>
    <w:rsid w:val="004A4A80"/>
    <w:rsid w:val="004A4DC0"/>
    <w:rsid w:val="004A5489"/>
    <w:rsid w:val="004A7690"/>
    <w:rsid w:val="004B0720"/>
    <w:rsid w:val="004B367B"/>
    <w:rsid w:val="004B36CE"/>
    <w:rsid w:val="004B4DAA"/>
    <w:rsid w:val="004B6616"/>
    <w:rsid w:val="004B7AD5"/>
    <w:rsid w:val="004B7B53"/>
    <w:rsid w:val="004C045C"/>
    <w:rsid w:val="004C07D6"/>
    <w:rsid w:val="004C0F3F"/>
    <w:rsid w:val="004C17CB"/>
    <w:rsid w:val="004C1A68"/>
    <w:rsid w:val="004C420E"/>
    <w:rsid w:val="004C4385"/>
    <w:rsid w:val="004C6910"/>
    <w:rsid w:val="004C73A9"/>
    <w:rsid w:val="004C7929"/>
    <w:rsid w:val="004D0248"/>
    <w:rsid w:val="004D0B47"/>
    <w:rsid w:val="004D0BDF"/>
    <w:rsid w:val="004D2424"/>
    <w:rsid w:val="004D2C12"/>
    <w:rsid w:val="004D3A0B"/>
    <w:rsid w:val="004D469E"/>
    <w:rsid w:val="004D4B67"/>
    <w:rsid w:val="004D5182"/>
    <w:rsid w:val="004D7948"/>
    <w:rsid w:val="004E1BE7"/>
    <w:rsid w:val="004E23F3"/>
    <w:rsid w:val="004E2A6E"/>
    <w:rsid w:val="004E3405"/>
    <w:rsid w:val="004E34EB"/>
    <w:rsid w:val="004E3A57"/>
    <w:rsid w:val="004E4378"/>
    <w:rsid w:val="004E4975"/>
    <w:rsid w:val="004E4BBD"/>
    <w:rsid w:val="004E5018"/>
    <w:rsid w:val="004E5200"/>
    <w:rsid w:val="004E5635"/>
    <w:rsid w:val="004E5EFE"/>
    <w:rsid w:val="004E6B64"/>
    <w:rsid w:val="004F064A"/>
    <w:rsid w:val="004F0FD3"/>
    <w:rsid w:val="004F1222"/>
    <w:rsid w:val="004F30F4"/>
    <w:rsid w:val="004F33C5"/>
    <w:rsid w:val="004F3422"/>
    <w:rsid w:val="004F3FEB"/>
    <w:rsid w:val="004F4ABE"/>
    <w:rsid w:val="004F5602"/>
    <w:rsid w:val="004F5BB4"/>
    <w:rsid w:val="004F6AEC"/>
    <w:rsid w:val="004F7933"/>
    <w:rsid w:val="005014CD"/>
    <w:rsid w:val="00501793"/>
    <w:rsid w:val="005028C8"/>
    <w:rsid w:val="00504A30"/>
    <w:rsid w:val="00505BFD"/>
    <w:rsid w:val="005074D5"/>
    <w:rsid w:val="00510AA1"/>
    <w:rsid w:val="00511E6F"/>
    <w:rsid w:val="005127CE"/>
    <w:rsid w:val="00512879"/>
    <w:rsid w:val="00513282"/>
    <w:rsid w:val="00515056"/>
    <w:rsid w:val="005158CD"/>
    <w:rsid w:val="00516FC0"/>
    <w:rsid w:val="005204CB"/>
    <w:rsid w:val="0052211A"/>
    <w:rsid w:val="00522208"/>
    <w:rsid w:val="00523DAE"/>
    <w:rsid w:val="005240BD"/>
    <w:rsid w:val="00524BCF"/>
    <w:rsid w:val="00524F37"/>
    <w:rsid w:val="00525AEA"/>
    <w:rsid w:val="00525FA8"/>
    <w:rsid w:val="005272D8"/>
    <w:rsid w:val="00530B7D"/>
    <w:rsid w:val="00531EA2"/>
    <w:rsid w:val="00532D2D"/>
    <w:rsid w:val="00532D90"/>
    <w:rsid w:val="00533D48"/>
    <w:rsid w:val="00534130"/>
    <w:rsid w:val="005342FE"/>
    <w:rsid w:val="00534CEA"/>
    <w:rsid w:val="00535518"/>
    <w:rsid w:val="00535887"/>
    <w:rsid w:val="005359DB"/>
    <w:rsid w:val="00535A6B"/>
    <w:rsid w:val="00535B80"/>
    <w:rsid w:val="005369E8"/>
    <w:rsid w:val="00536B4D"/>
    <w:rsid w:val="0054139F"/>
    <w:rsid w:val="005418F5"/>
    <w:rsid w:val="005419E9"/>
    <w:rsid w:val="00541DC9"/>
    <w:rsid w:val="00542475"/>
    <w:rsid w:val="00542EDF"/>
    <w:rsid w:val="005440CF"/>
    <w:rsid w:val="00546397"/>
    <w:rsid w:val="00550C9C"/>
    <w:rsid w:val="00551444"/>
    <w:rsid w:val="005515FA"/>
    <w:rsid w:val="005516A8"/>
    <w:rsid w:val="005532B7"/>
    <w:rsid w:val="005533C4"/>
    <w:rsid w:val="00560346"/>
    <w:rsid w:val="00560786"/>
    <w:rsid w:val="005618FA"/>
    <w:rsid w:val="00562598"/>
    <w:rsid w:val="0056268F"/>
    <w:rsid w:val="00562BE0"/>
    <w:rsid w:val="00564B56"/>
    <w:rsid w:val="00565AC5"/>
    <w:rsid w:val="00565C3C"/>
    <w:rsid w:val="00566963"/>
    <w:rsid w:val="00566974"/>
    <w:rsid w:val="005673CC"/>
    <w:rsid w:val="005674B3"/>
    <w:rsid w:val="00567623"/>
    <w:rsid w:val="0057085B"/>
    <w:rsid w:val="00570C6B"/>
    <w:rsid w:val="005718F6"/>
    <w:rsid w:val="0057243E"/>
    <w:rsid w:val="00572DF6"/>
    <w:rsid w:val="00573388"/>
    <w:rsid w:val="00573AB6"/>
    <w:rsid w:val="00574973"/>
    <w:rsid w:val="005751B1"/>
    <w:rsid w:val="00577D77"/>
    <w:rsid w:val="00580725"/>
    <w:rsid w:val="005807CD"/>
    <w:rsid w:val="00581465"/>
    <w:rsid w:val="005835E1"/>
    <w:rsid w:val="00584471"/>
    <w:rsid w:val="00584C9B"/>
    <w:rsid w:val="00586657"/>
    <w:rsid w:val="00586FDE"/>
    <w:rsid w:val="00587B6A"/>
    <w:rsid w:val="00587C9B"/>
    <w:rsid w:val="00587F5D"/>
    <w:rsid w:val="005909A3"/>
    <w:rsid w:val="00590E5A"/>
    <w:rsid w:val="005939D9"/>
    <w:rsid w:val="00593E65"/>
    <w:rsid w:val="005940D1"/>
    <w:rsid w:val="00594E34"/>
    <w:rsid w:val="00596B3D"/>
    <w:rsid w:val="00597D55"/>
    <w:rsid w:val="005A00A1"/>
    <w:rsid w:val="005A00F1"/>
    <w:rsid w:val="005A0473"/>
    <w:rsid w:val="005A2279"/>
    <w:rsid w:val="005A2BB7"/>
    <w:rsid w:val="005A32A6"/>
    <w:rsid w:val="005A3A8D"/>
    <w:rsid w:val="005A483E"/>
    <w:rsid w:val="005A4ADA"/>
    <w:rsid w:val="005A6A75"/>
    <w:rsid w:val="005A6F2F"/>
    <w:rsid w:val="005B03DD"/>
    <w:rsid w:val="005B24AF"/>
    <w:rsid w:val="005B283E"/>
    <w:rsid w:val="005B2BE8"/>
    <w:rsid w:val="005B3A18"/>
    <w:rsid w:val="005B41AA"/>
    <w:rsid w:val="005B4F61"/>
    <w:rsid w:val="005B50EF"/>
    <w:rsid w:val="005B57EF"/>
    <w:rsid w:val="005B69CF"/>
    <w:rsid w:val="005B6DF8"/>
    <w:rsid w:val="005C0524"/>
    <w:rsid w:val="005C087B"/>
    <w:rsid w:val="005C0C5C"/>
    <w:rsid w:val="005C2A99"/>
    <w:rsid w:val="005C3056"/>
    <w:rsid w:val="005C3812"/>
    <w:rsid w:val="005C5968"/>
    <w:rsid w:val="005C709D"/>
    <w:rsid w:val="005C7707"/>
    <w:rsid w:val="005D0BFE"/>
    <w:rsid w:val="005D133C"/>
    <w:rsid w:val="005D14A0"/>
    <w:rsid w:val="005D2474"/>
    <w:rsid w:val="005D26A2"/>
    <w:rsid w:val="005D2F33"/>
    <w:rsid w:val="005D33D4"/>
    <w:rsid w:val="005D5CF2"/>
    <w:rsid w:val="005D7FCA"/>
    <w:rsid w:val="005E1232"/>
    <w:rsid w:val="005E37DA"/>
    <w:rsid w:val="005E3D9B"/>
    <w:rsid w:val="005E40BB"/>
    <w:rsid w:val="005E4185"/>
    <w:rsid w:val="005E485F"/>
    <w:rsid w:val="005E4C64"/>
    <w:rsid w:val="005F0FD7"/>
    <w:rsid w:val="005F1EC4"/>
    <w:rsid w:val="005F2604"/>
    <w:rsid w:val="005F2D68"/>
    <w:rsid w:val="005F3758"/>
    <w:rsid w:val="005F400F"/>
    <w:rsid w:val="005F437B"/>
    <w:rsid w:val="005F71F9"/>
    <w:rsid w:val="006002AA"/>
    <w:rsid w:val="006051D7"/>
    <w:rsid w:val="00605367"/>
    <w:rsid w:val="006100D2"/>
    <w:rsid w:val="006107BB"/>
    <w:rsid w:val="00611A35"/>
    <w:rsid w:val="00611C67"/>
    <w:rsid w:val="0061308C"/>
    <w:rsid w:val="00614076"/>
    <w:rsid w:val="00614368"/>
    <w:rsid w:val="00614E5A"/>
    <w:rsid w:val="00616235"/>
    <w:rsid w:val="0061690D"/>
    <w:rsid w:val="00620244"/>
    <w:rsid w:val="00620B8A"/>
    <w:rsid w:val="006226EB"/>
    <w:rsid w:val="0062275E"/>
    <w:rsid w:val="0062395A"/>
    <w:rsid w:val="00623F97"/>
    <w:rsid w:val="0062499E"/>
    <w:rsid w:val="00624F00"/>
    <w:rsid w:val="0062554E"/>
    <w:rsid w:val="00630057"/>
    <w:rsid w:val="00630230"/>
    <w:rsid w:val="00631233"/>
    <w:rsid w:val="00631404"/>
    <w:rsid w:val="0063197E"/>
    <w:rsid w:val="00632DC1"/>
    <w:rsid w:val="00634686"/>
    <w:rsid w:val="00635809"/>
    <w:rsid w:val="00635F83"/>
    <w:rsid w:val="006365E5"/>
    <w:rsid w:val="00636D54"/>
    <w:rsid w:val="00636EB6"/>
    <w:rsid w:val="00637A6B"/>
    <w:rsid w:val="006402B1"/>
    <w:rsid w:val="00640B8B"/>
    <w:rsid w:val="00640E83"/>
    <w:rsid w:val="00640FE7"/>
    <w:rsid w:val="00641090"/>
    <w:rsid w:val="00643AB4"/>
    <w:rsid w:val="00643E28"/>
    <w:rsid w:val="00643E5C"/>
    <w:rsid w:val="00645153"/>
    <w:rsid w:val="006455B8"/>
    <w:rsid w:val="00645F79"/>
    <w:rsid w:val="00646223"/>
    <w:rsid w:val="006468BA"/>
    <w:rsid w:val="006470A6"/>
    <w:rsid w:val="00647993"/>
    <w:rsid w:val="00650191"/>
    <w:rsid w:val="00650304"/>
    <w:rsid w:val="0065103C"/>
    <w:rsid w:val="006529FA"/>
    <w:rsid w:val="006535F8"/>
    <w:rsid w:val="00653B45"/>
    <w:rsid w:val="006566AB"/>
    <w:rsid w:val="00657376"/>
    <w:rsid w:val="006600BA"/>
    <w:rsid w:val="0066012F"/>
    <w:rsid w:val="0066093C"/>
    <w:rsid w:val="00663B7B"/>
    <w:rsid w:val="006640FF"/>
    <w:rsid w:val="00667145"/>
    <w:rsid w:val="006673BB"/>
    <w:rsid w:val="006674A4"/>
    <w:rsid w:val="006707F5"/>
    <w:rsid w:val="00670AD9"/>
    <w:rsid w:val="006713C2"/>
    <w:rsid w:val="00671713"/>
    <w:rsid w:val="0067287B"/>
    <w:rsid w:val="00672EDC"/>
    <w:rsid w:val="006735A6"/>
    <w:rsid w:val="006735E6"/>
    <w:rsid w:val="00673AE4"/>
    <w:rsid w:val="0067402D"/>
    <w:rsid w:val="006750E2"/>
    <w:rsid w:val="00675E56"/>
    <w:rsid w:val="0067632C"/>
    <w:rsid w:val="006768B0"/>
    <w:rsid w:val="00677934"/>
    <w:rsid w:val="00677A85"/>
    <w:rsid w:val="006805A5"/>
    <w:rsid w:val="00680B51"/>
    <w:rsid w:val="00680CBC"/>
    <w:rsid w:val="00680E3F"/>
    <w:rsid w:val="00681FE9"/>
    <w:rsid w:val="00682166"/>
    <w:rsid w:val="006821E3"/>
    <w:rsid w:val="0068286F"/>
    <w:rsid w:val="00682E8F"/>
    <w:rsid w:val="00684761"/>
    <w:rsid w:val="00684CB6"/>
    <w:rsid w:val="00685CE2"/>
    <w:rsid w:val="00685DB6"/>
    <w:rsid w:val="006862EF"/>
    <w:rsid w:val="0069299B"/>
    <w:rsid w:val="00693137"/>
    <w:rsid w:val="00693518"/>
    <w:rsid w:val="00694C51"/>
    <w:rsid w:val="006955E7"/>
    <w:rsid w:val="0069567C"/>
    <w:rsid w:val="00695FCF"/>
    <w:rsid w:val="00696965"/>
    <w:rsid w:val="00696DDA"/>
    <w:rsid w:val="006970D5"/>
    <w:rsid w:val="0069775C"/>
    <w:rsid w:val="006A013E"/>
    <w:rsid w:val="006A135C"/>
    <w:rsid w:val="006A13C2"/>
    <w:rsid w:val="006A1639"/>
    <w:rsid w:val="006A19D8"/>
    <w:rsid w:val="006A3B3E"/>
    <w:rsid w:val="006A4CFB"/>
    <w:rsid w:val="006A71A2"/>
    <w:rsid w:val="006A7AE1"/>
    <w:rsid w:val="006B0DD2"/>
    <w:rsid w:val="006B1E9E"/>
    <w:rsid w:val="006B2505"/>
    <w:rsid w:val="006B2578"/>
    <w:rsid w:val="006B4075"/>
    <w:rsid w:val="006B5E7A"/>
    <w:rsid w:val="006B6956"/>
    <w:rsid w:val="006B707F"/>
    <w:rsid w:val="006B764C"/>
    <w:rsid w:val="006C09E3"/>
    <w:rsid w:val="006C0A34"/>
    <w:rsid w:val="006C0DA3"/>
    <w:rsid w:val="006C2667"/>
    <w:rsid w:val="006C3B4B"/>
    <w:rsid w:val="006C41FF"/>
    <w:rsid w:val="006C4E62"/>
    <w:rsid w:val="006C5B37"/>
    <w:rsid w:val="006C7B8B"/>
    <w:rsid w:val="006D0F95"/>
    <w:rsid w:val="006D1496"/>
    <w:rsid w:val="006D30E8"/>
    <w:rsid w:val="006D3960"/>
    <w:rsid w:val="006D4561"/>
    <w:rsid w:val="006D502F"/>
    <w:rsid w:val="006D5067"/>
    <w:rsid w:val="006D5713"/>
    <w:rsid w:val="006D6DE6"/>
    <w:rsid w:val="006E1EA3"/>
    <w:rsid w:val="006E265E"/>
    <w:rsid w:val="006E27FD"/>
    <w:rsid w:val="006E2EEA"/>
    <w:rsid w:val="006E4DAD"/>
    <w:rsid w:val="006E5398"/>
    <w:rsid w:val="006E6CC2"/>
    <w:rsid w:val="006E77BB"/>
    <w:rsid w:val="006F5C05"/>
    <w:rsid w:val="006F5E1D"/>
    <w:rsid w:val="006F6ADA"/>
    <w:rsid w:val="006F6B4E"/>
    <w:rsid w:val="006F7069"/>
    <w:rsid w:val="006F707F"/>
    <w:rsid w:val="00701873"/>
    <w:rsid w:val="0070382E"/>
    <w:rsid w:val="00703A23"/>
    <w:rsid w:val="00703A2E"/>
    <w:rsid w:val="007050A0"/>
    <w:rsid w:val="0070621C"/>
    <w:rsid w:val="00706682"/>
    <w:rsid w:val="00707993"/>
    <w:rsid w:val="00707F1D"/>
    <w:rsid w:val="0071123A"/>
    <w:rsid w:val="00711E25"/>
    <w:rsid w:val="00711FB5"/>
    <w:rsid w:val="00712AC4"/>
    <w:rsid w:val="00712FB7"/>
    <w:rsid w:val="007138CC"/>
    <w:rsid w:val="00713AD7"/>
    <w:rsid w:val="00713CA3"/>
    <w:rsid w:val="0071425A"/>
    <w:rsid w:val="0071439B"/>
    <w:rsid w:val="00714C27"/>
    <w:rsid w:val="0072122E"/>
    <w:rsid w:val="00723214"/>
    <w:rsid w:val="00723B85"/>
    <w:rsid w:val="00724F81"/>
    <w:rsid w:val="00725232"/>
    <w:rsid w:val="007254CF"/>
    <w:rsid w:val="007257B8"/>
    <w:rsid w:val="007265A4"/>
    <w:rsid w:val="0072698A"/>
    <w:rsid w:val="00727A83"/>
    <w:rsid w:val="0073042B"/>
    <w:rsid w:val="00730A03"/>
    <w:rsid w:val="0073174A"/>
    <w:rsid w:val="007333BE"/>
    <w:rsid w:val="0073343B"/>
    <w:rsid w:val="007335A8"/>
    <w:rsid w:val="00734EC9"/>
    <w:rsid w:val="00735079"/>
    <w:rsid w:val="0073593C"/>
    <w:rsid w:val="00736425"/>
    <w:rsid w:val="00736A14"/>
    <w:rsid w:val="00736FC8"/>
    <w:rsid w:val="00737013"/>
    <w:rsid w:val="0073764E"/>
    <w:rsid w:val="00737DDD"/>
    <w:rsid w:val="007434D5"/>
    <w:rsid w:val="007452BC"/>
    <w:rsid w:val="007478BB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17A9"/>
    <w:rsid w:val="0076189A"/>
    <w:rsid w:val="00762D76"/>
    <w:rsid w:val="00763FB0"/>
    <w:rsid w:val="007644E5"/>
    <w:rsid w:val="00765150"/>
    <w:rsid w:val="00766121"/>
    <w:rsid w:val="00770D2D"/>
    <w:rsid w:val="00770D5D"/>
    <w:rsid w:val="00771112"/>
    <w:rsid w:val="0077164C"/>
    <w:rsid w:val="00772C0B"/>
    <w:rsid w:val="0077338A"/>
    <w:rsid w:val="007738D0"/>
    <w:rsid w:val="00773EC0"/>
    <w:rsid w:val="0077409B"/>
    <w:rsid w:val="00774DA4"/>
    <w:rsid w:val="00774E33"/>
    <w:rsid w:val="0077567A"/>
    <w:rsid w:val="00775B12"/>
    <w:rsid w:val="00775DA1"/>
    <w:rsid w:val="00777045"/>
    <w:rsid w:val="00777690"/>
    <w:rsid w:val="007777BD"/>
    <w:rsid w:val="00777FA9"/>
    <w:rsid w:val="00780533"/>
    <w:rsid w:val="00782061"/>
    <w:rsid w:val="00782C25"/>
    <w:rsid w:val="00783A0B"/>
    <w:rsid w:val="00783C15"/>
    <w:rsid w:val="00783E8C"/>
    <w:rsid w:val="00784DD0"/>
    <w:rsid w:val="00785290"/>
    <w:rsid w:val="007862F7"/>
    <w:rsid w:val="00786EC7"/>
    <w:rsid w:val="0078737D"/>
    <w:rsid w:val="00790464"/>
    <w:rsid w:val="007912F9"/>
    <w:rsid w:val="00791D81"/>
    <w:rsid w:val="007939B6"/>
    <w:rsid w:val="00793D62"/>
    <w:rsid w:val="00793DB9"/>
    <w:rsid w:val="0079427C"/>
    <w:rsid w:val="00794F09"/>
    <w:rsid w:val="00795C3B"/>
    <w:rsid w:val="00795D57"/>
    <w:rsid w:val="007964C7"/>
    <w:rsid w:val="007977C0"/>
    <w:rsid w:val="007A1B7F"/>
    <w:rsid w:val="007A1BDA"/>
    <w:rsid w:val="007A2AC4"/>
    <w:rsid w:val="007A35B4"/>
    <w:rsid w:val="007A4846"/>
    <w:rsid w:val="007A4969"/>
    <w:rsid w:val="007A603F"/>
    <w:rsid w:val="007A62AA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3152"/>
    <w:rsid w:val="007B3604"/>
    <w:rsid w:val="007B48F8"/>
    <w:rsid w:val="007B51E6"/>
    <w:rsid w:val="007B55B5"/>
    <w:rsid w:val="007B5624"/>
    <w:rsid w:val="007B682E"/>
    <w:rsid w:val="007C28B7"/>
    <w:rsid w:val="007C34EA"/>
    <w:rsid w:val="007C3D92"/>
    <w:rsid w:val="007C4733"/>
    <w:rsid w:val="007C4D63"/>
    <w:rsid w:val="007C5420"/>
    <w:rsid w:val="007C582F"/>
    <w:rsid w:val="007C607D"/>
    <w:rsid w:val="007C6E19"/>
    <w:rsid w:val="007C7F7B"/>
    <w:rsid w:val="007D0BC0"/>
    <w:rsid w:val="007D1008"/>
    <w:rsid w:val="007D1B67"/>
    <w:rsid w:val="007D2672"/>
    <w:rsid w:val="007D31B0"/>
    <w:rsid w:val="007D394D"/>
    <w:rsid w:val="007D3B7E"/>
    <w:rsid w:val="007D4B6B"/>
    <w:rsid w:val="007D62DC"/>
    <w:rsid w:val="007D7930"/>
    <w:rsid w:val="007D7CCF"/>
    <w:rsid w:val="007E0965"/>
    <w:rsid w:val="007E2425"/>
    <w:rsid w:val="007E565C"/>
    <w:rsid w:val="007E58BF"/>
    <w:rsid w:val="007E5D98"/>
    <w:rsid w:val="007E6B04"/>
    <w:rsid w:val="007E6D5A"/>
    <w:rsid w:val="007E728E"/>
    <w:rsid w:val="007E784C"/>
    <w:rsid w:val="007E79F5"/>
    <w:rsid w:val="007F03B2"/>
    <w:rsid w:val="007F083D"/>
    <w:rsid w:val="007F130A"/>
    <w:rsid w:val="007F2D03"/>
    <w:rsid w:val="007F3D4F"/>
    <w:rsid w:val="007F46C8"/>
    <w:rsid w:val="007F51D5"/>
    <w:rsid w:val="007F5D18"/>
    <w:rsid w:val="007F6798"/>
    <w:rsid w:val="00801420"/>
    <w:rsid w:val="00802069"/>
    <w:rsid w:val="008025DC"/>
    <w:rsid w:val="00802652"/>
    <w:rsid w:val="008027A4"/>
    <w:rsid w:val="00803C62"/>
    <w:rsid w:val="00805573"/>
    <w:rsid w:val="00806EC8"/>
    <w:rsid w:val="008078A0"/>
    <w:rsid w:val="008115C4"/>
    <w:rsid w:val="00814CE9"/>
    <w:rsid w:val="00815161"/>
    <w:rsid w:val="00815170"/>
    <w:rsid w:val="00815D21"/>
    <w:rsid w:val="00815D37"/>
    <w:rsid w:val="00815D73"/>
    <w:rsid w:val="00816CFE"/>
    <w:rsid w:val="00816F1F"/>
    <w:rsid w:val="008172F5"/>
    <w:rsid w:val="008176D9"/>
    <w:rsid w:val="00820BE1"/>
    <w:rsid w:val="008218B7"/>
    <w:rsid w:val="00822919"/>
    <w:rsid w:val="00825BCB"/>
    <w:rsid w:val="00825CE6"/>
    <w:rsid w:val="0082609D"/>
    <w:rsid w:val="00826910"/>
    <w:rsid w:val="00826F53"/>
    <w:rsid w:val="008270A6"/>
    <w:rsid w:val="008275B2"/>
    <w:rsid w:val="00827BB7"/>
    <w:rsid w:val="008307CF"/>
    <w:rsid w:val="008310C2"/>
    <w:rsid w:val="00831662"/>
    <w:rsid w:val="00831988"/>
    <w:rsid w:val="008319E1"/>
    <w:rsid w:val="00832233"/>
    <w:rsid w:val="00832428"/>
    <w:rsid w:val="00832BDC"/>
    <w:rsid w:val="008335D7"/>
    <w:rsid w:val="0083364D"/>
    <w:rsid w:val="00833796"/>
    <w:rsid w:val="008340F1"/>
    <w:rsid w:val="00834A4A"/>
    <w:rsid w:val="0083539A"/>
    <w:rsid w:val="0083564F"/>
    <w:rsid w:val="008356C6"/>
    <w:rsid w:val="0083673F"/>
    <w:rsid w:val="00837B9C"/>
    <w:rsid w:val="008409F8"/>
    <w:rsid w:val="00843208"/>
    <w:rsid w:val="00843951"/>
    <w:rsid w:val="00844028"/>
    <w:rsid w:val="0084493B"/>
    <w:rsid w:val="00844B59"/>
    <w:rsid w:val="00844F82"/>
    <w:rsid w:val="00845D51"/>
    <w:rsid w:val="008462E6"/>
    <w:rsid w:val="00846331"/>
    <w:rsid w:val="008469EE"/>
    <w:rsid w:val="008475FC"/>
    <w:rsid w:val="008513F9"/>
    <w:rsid w:val="008521CA"/>
    <w:rsid w:val="008522E6"/>
    <w:rsid w:val="00852876"/>
    <w:rsid w:val="00853F5B"/>
    <w:rsid w:val="00854009"/>
    <w:rsid w:val="008557A9"/>
    <w:rsid w:val="0085624B"/>
    <w:rsid w:val="008566B3"/>
    <w:rsid w:val="00856765"/>
    <w:rsid w:val="0085760A"/>
    <w:rsid w:val="008610D3"/>
    <w:rsid w:val="00861853"/>
    <w:rsid w:val="00862613"/>
    <w:rsid w:val="00862746"/>
    <w:rsid w:val="008638C5"/>
    <w:rsid w:val="008642A0"/>
    <w:rsid w:val="00864335"/>
    <w:rsid w:val="0086701C"/>
    <w:rsid w:val="00867AEB"/>
    <w:rsid w:val="00871FE1"/>
    <w:rsid w:val="00873530"/>
    <w:rsid w:val="0087467A"/>
    <w:rsid w:val="00876C2C"/>
    <w:rsid w:val="00876D26"/>
    <w:rsid w:val="008775A4"/>
    <w:rsid w:val="0087761C"/>
    <w:rsid w:val="008809B6"/>
    <w:rsid w:val="00881122"/>
    <w:rsid w:val="008812D5"/>
    <w:rsid w:val="008814D0"/>
    <w:rsid w:val="00881AF4"/>
    <w:rsid w:val="00882B98"/>
    <w:rsid w:val="008831D9"/>
    <w:rsid w:val="008834FE"/>
    <w:rsid w:val="00883BC1"/>
    <w:rsid w:val="00884973"/>
    <w:rsid w:val="00884AE7"/>
    <w:rsid w:val="00884CBF"/>
    <w:rsid w:val="00884F48"/>
    <w:rsid w:val="00886263"/>
    <w:rsid w:val="00890070"/>
    <w:rsid w:val="00890405"/>
    <w:rsid w:val="008907F0"/>
    <w:rsid w:val="00890B27"/>
    <w:rsid w:val="00890D36"/>
    <w:rsid w:val="008920DC"/>
    <w:rsid w:val="008922AD"/>
    <w:rsid w:val="008927EA"/>
    <w:rsid w:val="008927EE"/>
    <w:rsid w:val="00892826"/>
    <w:rsid w:val="00893367"/>
    <w:rsid w:val="00894C0F"/>
    <w:rsid w:val="008956D1"/>
    <w:rsid w:val="008957EF"/>
    <w:rsid w:val="00895BB6"/>
    <w:rsid w:val="0089700B"/>
    <w:rsid w:val="00897087"/>
    <w:rsid w:val="008972B2"/>
    <w:rsid w:val="008976A1"/>
    <w:rsid w:val="00897B0F"/>
    <w:rsid w:val="00897CA1"/>
    <w:rsid w:val="008A0E25"/>
    <w:rsid w:val="008A1766"/>
    <w:rsid w:val="008A1D53"/>
    <w:rsid w:val="008A20C7"/>
    <w:rsid w:val="008A284D"/>
    <w:rsid w:val="008A3F9F"/>
    <w:rsid w:val="008A7911"/>
    <w:rsid w:val="008A7A9B"/>
    <w:rsid w:val="008A7CDD"/>
    <w:rsid w:val="008B1750"/>
    <w:rsid w:val="008B2BA7"/>
    <w:rsid w:val="008B2BDC"/>
    <w:rsid w:val="008B3494"/>
    <w:rsid w:val="008B4A35"/>
    <w:rsid w:val="008B5FC3"/>
    <w:rsid w:val="008B60AF"/>
    <w:rsid w:val="008B7022"/>
    <w:rsid w:val="008C0A82"/>
    <w:rsid w:val="008C117C"/>
    <w:rsid w:val="008C1649"/>
    <w:rsid w:val="008C483F"/>
    <w:rsid w:val="008C4980"/>
    <w:rsid w:val="008C52BA"/>
    <w:rsid w:val="008C5798"/>
    <w:rsid w:val="008C61D8"/>
    <w:rsid w:val="008D0A24"/>
    <w:rsid w:val="008D257B"/>
    <w:rsid w:val="008D2BDD"/>
    <w:rsid w:val="008D33F8"/>
    <w:rsid w:val="008D40A7"/>
    <w:rsid w:val="008D4BC6"/>
    <w:rsid w:val="008D67E6"/>
    <w:rsid w:val="008D6AAD"/>
    <w:rsid w:val="008E190A"/>
    <w:rsid w:val="008E1C25"/>
    <w:rsid w:val="008E2DB0"/>
    <w:rsid w:val="008E4AD4"/>
    <w:rsid w:val="008E70BF"/>
    <w:rsid w:val="008F1906"/>
    <w:rsid w:val="008F1CC5"/>
    <w:rsid w:val="008F1F12"/>
    <w:rsid w:val="008F2550"/>
    <w:rsid w:val="008F2E54"/>
    <w:rsid w:val="008F43E5"/>
    <w:rsid w:val="008F5923"/>
    <w:rsid w:val="008F5A3B"/>
    <w:rsid w:val="008F6975"/>
    <w:rsid w:val="008F72C4"/>
    <w:rsid w:val="008F7EF5"/>
    <w:rsid w:val="00900A5F"/>
    <w:rsid w:val="00901861"/>
    <w:rsid w:val="00902050"/>
    <w:rsid w:val="00902108"/>
    <w:rsid w:val="00902865"/>
    <w:rsid w:val="009030D3"/>
    <w:rsid w:val="00903510"/>
    <w:rsid w:val="0090415F"/>
    <w:rsid w:val="00905756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2ACE"/>
    <w:rsid w:val="0092355F"/>
    <w:rsid w:val="00924122"/>
    <w:rsid w:val="00924169"/>
    <w:rsid w:val="009241E0"/>
    <w:rsid w:val="00924D7D"/>
    <w:rsid w:val="00927747"/>
    <w:rsid w:val="00927D6F"/>
    <w:rsid w:val="00927F62"/>
    <w:rsid w:val="00930CCE"/>
    <w:rsid w:val="00931A17"/>
    <w:rsid w:val="00934178"/>
    <w:rsid w:val="009353AC"/>
    <w:rsid w:val="00935E1A"/>
    <w:rsid w:val="009360C0"/>
    <w:rsid w:val="0093639F"/>
    <w:rsid w:val="0093653B"/>
    <w:rsid w:val="00936FF7"/>
    <w:rsid w:val="00937550"/>
    <w:rsid w:val="0094028A"/>
    <w:rsid w:val="00940E82"/>
    <w:rsid w:val="0094183B"/>
    <w:rsid w:val="0094398C"/>
    <w:rsid w:val="00943ACC"/>
    <w:rsid w:val="00944C8D"/>
    <w:rsid w:val="00944E22"/>
    <w:rsid w:val="009461CD"/>
    <w:rsid w:val="00947084"/>
    <w:rsid w:val="00947FBD"/>
    <w:rsid w:val="00950F90"/>
    <w:rsid w:val="0095138D"/>
    <w:rsid w:val="00953E98"/>
    <w:rsid w:val="009543D1"/>
    <w:rsid w:val="00954A08"/>
    <w:rsid w:val="00955403"/>
    <w:rsid w:val="00955813"/>
    <w:rsid w:val="009570CA"/>
    <w:rsid w:val="00957526"/>
    <w:rsid w:val="00957C85"/>
    <w:rsid w:val="00957D24"/>
    <w:rsid w:val="00961FD4"/>
    <w:rsid w:val="009627FC"/>
    <w:rsid w:val="00962A95"/>
    <w:rsid w:val="00962B91"/>
    <w:rsid w:val="009630B4"/>
    <w:rsid w:val="00963735"/>
    <w:rsid w:val="00963A49"/>
    <w:rsid w:val="009650B3"/>
    <w:rsid w:val="00965964"/>
    <w:rsid w:val="00967B7A"/>
    <w:rsid w:val="009701EE"/>
    <w:rsid w:val="00970D44"/>
    <w:rsid w:val="00970F32"/>
    <w:rsid w:val="0097162D"/>
    <w:rsid w:val="009721C4"/>
    <w:rsid w:val="009722DB"/>
    <w:rsid w:val="0097272E"/>
    <w:rsid w:val="009732CE"/>
    <w:rsid w:val="00973B94"/>
    <w:rsid w:val="00975FAD"/>
    <w:rsid w:val="00976F80"/>
    <w:rsid w:val="00977B89"/>
    <w:rsid w:val="009805F2"/>
    <w:rsid w:val="00983548"/>
    <w:rsid w:val="00984C33"/>
    <w:rsid w:val="00984E46"/>
    <w:rsid w:val="00985060"/>
    <w:rsid w:val="00986052"/>
    <w:rsid w:val="00987C74"/>
    <w:rsid w:val="00990397"/>
    <w:rsid w:val="00991B11"/>
    <w:rsid w:val="00991EDB"/>
    <w:rsid w:val="009937F7"/>
    <w:rsid w:val="00994D0A"/>
    <w:rsid w:val="00994D71"/>
    <w:rsid w:val="00996C28"/>
    <w:rsid w:val="00996FA7"/>
    <w:rsid w:val="009977C9"/>
    <w:rsid w:val="00997C38"/>
    <w:rsid w:val="009A2117"/>
    <w:rsid w:val="009A2DA3"/>
    <w:rsid w:val="009A37EB"/>
    <w:rsid w:val="009A3ADF"/>
    <w:rsid w:val="009A4477"/>
    <w:rsid w:val="009A662A"/>
    <w:rsid w:val="009A6C03"/>
    <w:rsid w:val="009A76B2"/>
    <w:rsid w:val="009A7F06"/>
    <w:rsid w:val="009A7F2E"/>
    <w:rsid w:val="009B0C1D"/>
    <w:rsid w:val="009B1F97"/>
    <w:rsid w:val="009B2E68"/>
    <w:rsid w:val="009B2F4F"/>
    <w:rsid w:val="009B3995"/>
    <w:rsid w:val="009B4114"/>
    <w:rsid w:val="009B5639"/>
    <w:rsid w:val="009B7FE4"/>
    <w:rsid w:val="009C005C"/>
    <w:rsid w:val="009C17E6"/>
    <w:rsid w:val="009C1828"/>
    <w:rsid w:val="009C1A22"/>
    <w:rsid w:val="009C2C3C"/>
    <w:rsid w:val="009C40A9"/>
    <w:rsid w:val="009C4156"/>
    <w:rsid w:val="009C4513"/>
    <w:rsid w:val="009C5B5F"/>
    <w:rsid w:val="009C60D3"/>
    <w:rsid w:val="009C6982"/>
    <w:rsid w:val="009C6AFA"/>
    <w:rsid w:val="009C7037"/>
    <w:rsid w:val="009C7943"/>
    <w:rsid w:val="009D0AFE"/>
    <w:rsid w:val="009D0D30"/>
    <w:rsid w:val="009D1A5C"/>
    <w:rsid w:val="009D2EAC"/>
    <w:rsid w:val="009D3894"/>
    <w:rsid w:val="009D4F4F"/>
    <w:rsid w:val="009D6E1C"/>
    <w:rsid w:val="009D746D"/>
    <w:rsid w:val="009D75DE"/>
    <w:rsid w:val="009D7945"/>
    <w:rsid w:val="009E04E4"/>
    <w:rsid w:val="009E0C18"/>
    <w:rsid w:val="009E2D21"/>
    <w:rsid w:val="009E2EFA"/>
    <w:rsid w:val="009E30A5"/>
    <w:rsid w:val="009E317A"/>
    <w:rsid w:val="009E3CEE"/>
    <w:rsid w:val="009E3EAC"/>
    <w:rsid w:val="009E3F63"/>
    <w:rsid w:val="009E4342"/>
    <w:rsid w:val="009E52B3"/>
    <w:rsid w:val="009F03B6"/>
    <w:rsid w:val="009F0432"/>
    <w:rsid w:val="009F0ADE"/>
    <w:rsid w:val="009F1FB2"/>
    <w:rsid w:val="009F2842"/>
    <w:rsid w:val="009F2CAA"/>
    <w:rsid w:val="009F40ED"/>
    <w:rsid w:val="009F451C"/>
    <w:rsid w:val="009F5F7B"/>
    <w:rsid w:val="009F691A"/>
    <w:rsid w:val="00A004B0"/>
    <w:rsid w:val="00A01376"/>
    <w:rsid w:val="00A0234F"/>
    <w:rsid w:val="00A0298A"/>
    <w:rsid w:val="00A02B53"/>
    <w:rsid w:val="00A03C51"/>
    <w:rsid w:val="00A04007"/>
    <w:rsid w:val="00A04E54"/>
    <w:rsid w:val="00A061EB"/>
    <w:rsid w:val="00A06334"/>
    <w:rsid w:val="00A0698F"/>
    <w:rsid w:val="00A10DFC"/>
    <w:rsid w:val="00A113DF"/>
    <w:rsid w:val="00A114BF"/>
    <w:rsid w:val="00A12A38"/>
    <w:rsid w:val="00A12E53"/>
    <w:rsid w:val="00A13DFC"/>
    <w:rsid w:val="00A157D7"/>
    <w:rsid w:val="00A16B16"/>
    <w:rsid w:val="00A17979"/>
    <w:rsid w:val="00A17BBB"/>
    <w:rsid w:val="00A22325"/>
    <w:rsid w:val="00A223B1"/>
    <w:rsid w:val="00A229E4"/>
    <w:rsid w:val="00A23478"/>
    <w:rsid w:val="00A23E03"/>
    <w:rsid w:val="00A24493"/>
    <w:rsid w:val="00A25176"/>
    <w:rsid w:val="00A26267"/>
    <w:rsid w:val="00A269CF"/>
    <w:rsid w:val="00A30AE9"/>
    <w:rsid w:val="00A311C5"/>
    <w:rsid w:val="00A31C2C"/>
    <w:rsid w:val="00A31C66"/>
    <w:rsid w:val="00A33F8E"/>
    <w:rsid w:val="00A356B3"/>
    <w:rsid w:val="00A35813"/>
    <w:rsid w:val="00A364A1"/>
    <w:rsid w:val="00A36649"/>
    <w:rsid w:val="00A36D32"/>
    <w:rsid w:val="00A36E5F"/>
    <w:rsid w:val="00A401BC"/>
    <w:rsid w:val="00A40F25"/>
    <w:rsid w:val="00A412A3"/>
    <w:rsid w:val="00A423A7"/>
    <w:rsid w:val="00A430EB"/>
    <w:rsid w:val="00A43962"/>
    <w:rsid w:val="00A44F7D"/>
    <w:rsid w:val="00A47ED5"/>
    <w:rsid w:val="00A52C49"/>
    <w:rsid w:val="00A54C2F"/>
    <w:rsid w:val="00A54DBF"/>
    <w:rsid w:val="00A5534E"/>
    <w:rsid w:val="00A57022"/>
    <w:rsid w:val="00A608FD"/>
    <w:rsid w:val="00A60FC8"/>
    <w:rsid w:val="00A6177F"/>
    <w:rsid w:val="00A61A79"/>
    <w:rsid w:val="00A63606"/>
    <w:rsid w:val="00A64AD2"/>
    <w:rsid w:val="00A64D76"/>
    <w:rsid w:val="00A650B3"/>
    <w:rsid w:val="00A6573B"/>
    <w:rsid w:val="00A65B9D"/>
    <w:rsid w:val="00A66062"/>
    <w:rsid w:val="00A66317"/>
    <w:rsid w:val="00A66328"/>
    <w:rsid w:val="00A66E9E"/>
    <w:rsid w:val="00A675E8"/>
    <w:rsid w:val="00A70AB3"/>
    <w:rsid w:val="00A710F1"/>
    <w:rsid w:val="00A71D3F"/>
    <w:rsid w:val="00A71FF1"/>
    <w:rsid w:val="00A720CC"/>
    <w:rsid w:val="00A7213D"/>
    <w:rsid w:val="00A76386"/>
    <w:rsid w:val="00A76AA3"/>
    <w:rsid w:val="00A77016"/>
    <w:rsid w:val="00A77136"/>
    <w:rsid w:val="00A7781C"/>
    <w:rsid w:val="00A8493F"/>
    <w:rsid w:val="00A84F3D"/>
    <w:rsid w:val="00A86DA7"/>
    <w:rsid w:val="00A90AD0"/>
    <w:rsid w:val="00A91DC0"/>
    <w:rsid w:val="00A91E49"/>
    <w:rsid w:val="00A9205A"/>
    <w:rsid w:val="00A953B4"/>
    <w:rsid w:val="00A9781D"/>
    <w:rsid w:val="00AA0FE4"/>
    <w:rsid w:val="00AA10CE"/>
    <w:rsid w:val="00AA2A57"/>
    <w:rsid w:val="00AA2C9B"/>
    <w:rsid w:val="00AA5738"/>
    <w:rsid w:val="00AA5FE0"/>
    <w:rsid w:val="00AA6191"/>
    <w:rsid w:val="00AA65EF"/>
    <w:rsid w:val="00AA787F"/>
    <w:rsid w:val="00AB07C4"/>
    <w:rsid w:val="00AB0FBF"/>
    <w:rsid w:val="00AB3272"/>
    <w:rsid w:val="00AB5A9E"/>
    <w:rsid w:val="00AB5BA1"/>
    <w:rsid w:val="00AB6942"/>
    <w:rsid w:val="00AB7331"/>
    <w:rsid w:val="00AC056B"/>
    <w:rsid w:val="00AC0C82"/>
    <w:rsid w:val="00AC18D7"/>
    <w:rsid w:val="00AC2611"/>
    <w:rsid w:val="00AC2E6A"/>
    <w:rsid w:val="00AC3E12"/>
    <w:rsid w:val="00AC44EB"/>
    <w:rsid w:val="00AC5A81"/>
    <w:rsid w:val="00AC5D57"/>
    <w:rsid w:val="00AC71A6"/>
    <w:rsid w:val="00AD02EC"/>
    <w:rsid w:val="00AD05A6"/>
    <w:rsid w:val="00AD3292"/>
    <w:rsid w:val="00AD388F"/>
    <w:rsid w:val="00AD436F"/>
    <w:rsid w:val="00AD503E"/>
    <w:rsid w:val="00AD7473"/>
    <w:rsid w:val="00AE0854"/>
    <w:rsid w:val="00AE0F77"/>
    <w:rsid w:val="00AE1EFF"/>
    <w:rsid w:val="00AE2657"/>
    <w:rsid w:val="00AE2D5E"/>
    <w:rsid w:val="00AE4C5E"/>
    <w:rsid w:val="00AE52B8"/>
    <w:rsid w:val="00AE53E8"/>
    <w:rsid w:val="00AE547C"/>
    <w:rsid w:val="00AE643F"/>
    <w:rsid w:val="00AE7805"/>
    <w:rsid w:val="00AE7BCB"/>
    <w:rsid w:val="00AE7C72"/>
    <w:rsid w:val="00AF0726"/>
    <w:rsid w:val="00AF0E11"/>
    <w:rsid w:val="00AF1125"/>
    <w:rsid w:val="00AF214C"/>
    <w:rsid w:val="00AF24B2"/>
    <w:rsid w:val="00AF3254"/>
    <w:rsid w:val="00AF4E13"/>
    <w:rsid w:val="00AF529C"/>
    <w:rsid w:val="00AF5345"/>
    <w:rsid w:val="00AF5B03"/>
    <w:rsid w:val="00AF5EB2"/>
    <w:rsid w:val="00AF60B7"/>
    <w:rsid w:val="00AF6AD7"/>
    <w:rsid w:val="00AF751E"/>
    <w:rsid w:val="00AF7F4A"/>
    <w:rsid w:val="00B00626"/>
    <w:rsid w:val="00B00632"/>
    <w:rsid w:val="00B01528"/>
    <w:rsid w:val="00B01A0B"/>
    <w:rsid w:val="00B03791"/>
    <w:rsid w:val="00B03D33"/>
    <w:rsid w:val="00B03F2D"/>
    <w:rsid w:val="00B040C8"/>
    <w:rsid w:val="00B047F1"/>
    <w:rsid w:val="00B051CC"/>
    <w:rsid w:val="00B05237"/>
    <w:rsid w:val="00B0532A"/>
    <w:rsid w:val="00B05878"/>
    <w:rsid w:val="00B129B5"/>
    <w:rsid w:val="00B173DF"/>
    <w:rsid w:val="00B17B31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708"/>
    <w:rsid w:val="00B34F7E"/>
    <w:rsid w:val="00B35085"/>
    <w:rsid w:val="00B365C9"/>
    <w:rsid w:val="00B37346"/>
    <w:rsid w:val="00B3783E"/>
    <w:rsid w:val="00B406F1"/>
    <w:rsid w:val="00B41CF1"/>
    <w:rsid w:val="00B43BAA"/>
    <w:rsid w:val="00B44A32"/>
    <w:rsid w:val="00B457AA"/>
    <w:rsid w:val="00B45C22"/>
    <w:rsid w:val="00B46F5D"/>
    <w:rsid w:val="00B5035C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2BA"/>
    <w:rsid w:val="00B62739"/>
    <w:rsid w:val="00B62F8B"/>
    <w:rsid w:val="00B63DCC"/>
    <w:rsid w:val="00B63F07"/>
    <w:rsid w:val="00B64FD7"/>
    <w:rsid w:val="00B6546E"/>
    <w:rsid w:val="00B65FD9"/>
    <w:rsid w:val="00B6616E"/>
    <w:rsid w:val="00B6634F"/>
    <w:rsid w:val="00B67FDC"/>
    <w:rsid w:val="00B708CF"/>
    <w:rsid w:val="00B71697"/>
    <w:rsid w:val="00B71781"/>
    <w:rsid w:val="00B71D07"/>
    <w:rsid w:val="00B7222E"/>
    <w:rsid w:val="00B73196"/>
    <w:rsid w:val="00B7336C"/>
    <w:rsid w:val="00B7548C"/>
    <w:rsid w:val="00B76C6A"/>
    <w:rsid w:val="00B76CDD"/>
    <w:rsid w:val="00B7748F"/>
    <w:rsid w:val="00B77794"/>
    <w:rsid w:val="00B80677"/>
    <w:rsid w:val="00B81482"/>
    <w:rsid w:val="00B81FBF"/>
    <w:rsid w:val="00B82437"/>
    <w:rsid w:val="00B829A8"/>
    <w:rsid w:val="00B829B3"/>
    <w:rsid w:val="00B83749"/>
    <w:rsid w:val="00B860BD"/>
    <w:rsid w:val="00B860F7"/>
    <w:rsid w:val="00B86579"/>
    <w:rsid w:val="00B873C9"/>
    <w:rsid w:val="00B87617"/>
    <w:rsid w:val="00B912EC"/>
    <w:rsid w:val="00B9203C"/>
    <w:rsid w:val="00B92684"/>
    <w:rsid w:val="00B93167"/>
    <w:rsid w:val="00B95065"/>
    <w:rsid w:val="00B957B7"/>
    <w:rsid w:val="00B96028"/>
    <w:rsid w:val="00B96704"/>
    <w:rsid w:val="00B96CEA"/>
    <w:rsid w:val="00B96E93"/>
    <w:rsid w:val="00B971AE"/>
    <w:rsid w:val="00B97AE8"/>
    <w:rsid w:val="00BA2289"/>
    <w:rsid w:val="00BA3745"/>
    <w:rsid w:val="00BA6970"/>
    <w:rsid w:val="00BA783E"/>
    <w:rsid w:val="00BB01C4"/>
    <w:rsid w:val="00BB1DDF"/>
    <w:rsid w:val="00BB1F05"/>
    <w:rsid w:val="00BB211A"/>
    <w:rsid w:val="00BB4665"/>
    <w:rsid w:val="00BB473F"/>
    <w:rsid w:val="00BB48DA"/>
    <w:rsid w:val="00BB4A4E"/>
    <w:rsid w:val="00BC0DB9"/>
    <w:rsid w:val="00BC1CC8"/>
    <w:rsid w:val="00BC2D7C"/>
    <w:rsid w:val="00BC5B5E"/>
    <w:rsid w:val="00BC5E6B"/>
    <w:rsid w:val="00BC6124"/>
    <w:rsid w:val="00BC76D0"/>
    <w:rsid w:val="00BC7D03"/>
    <w:rsid w:val="00BD2C2E"/>
    <w:rsid w:val="00BD3529"/>
    <w:rsid w:val="00BD35F9"/>
    <w:rsid w:val="00BD6FBD"/>
    <w:rsid w:val="00BE0E8D"/>
    <w:rsid w:val="00BE134F"/>
    <w:rsid w:val="00BE3538"/>
    <w:rsid w:val="00BE4EA8"/>
    <w:rsid w:val="00BE56ED"/>
    <w:rsid w:val="00BE67E4"/>
    <w:rsid w:val="00BE77A5"/>
    <w:rsid w:val="00BF10F5"/>
    <w:rsid w:val="00BF158F"/>
    <w:rsid w:val="00BF1A77"/>
    <w:rsid w:val="00BF1A98"/>
    <w:rsid w:val="00BF2576"/>
    <w:rsid w:val="00BF3F2C"/>
    <w:rsid w:val="00BF5106"/>
    <w:rsid w:val="00BF5720"/>
    <w:rsid w:val="00BF583E"/>
    <w:rsid w:val="00BF5D19"/>
    <w:rsid w:val="00BF5DF9"/>
    <w:rsid w:val="00BF7031"/>
    <w:rsid w:val="00C00153"/>
    <w:rsid w:val="00C00321"/>
    <w:rsid w:val="00C0043D"/>
    <w:rsid w:val="00C013C1"/>
    <w:rsid w:val="00C023AC"/>
    <w:rsid w:val="00C024B1"/>
    <w:rsid w:val="00C032E9"/>
    <w:rsid w:val="00C033A9"/>
    <w:rsid w:val="00C03529"/>
    <w:rsid w:val="00C03950"/>
    <w:rsid w:val="00C04C39"/>
    <w:rsid w:val="00C04E50"/>
    <w:rsid w:val="00C053AA"/>
    <w:rsid w:val="00C05572"/>
    <w:rsid w:val="00C055DB"/>
    <w:rsid w:val="00C06758"/>
    <w:rsid w:val="00C10CA2"/>
    <w:rsid w:val="00C10E6A"/>
    <w:rsid w:val="00C1154C"/>
    <w:rsid w:val="00C11CA8"/>
    <w:rsid w:val="00C1279D"/>
    <w:rsid w:val="00C14274"/>
    <w:rsid w:val="00C16581"/>
    <w:rsid w:val="00C17B97"/>
    <w:rsid w:val="00C200B3"/>
    <w:rsid w:val="00C20338"/>
    <w:rsid w:val="00C207C9"/>
    <w:rsid w:val="00C2114D"/>
    <w:rsid w:val="00C214E5"/>
    <w:rsid w:val="00C21884"/>
    <w:rsid w:val="00C2487C"/>
    <w:rsid w:val="00C24B34"/>
    <w:rsid w:val="00C24F8E"/>
    <w:rsid w:val="00C26F79"/>
    <w:rsid w:val="00C27666"/>
    <w:rsid w:val="00C276B1"/>
    <w:rsid w:val="00C308AD"/>
    <w:rsid w:val="00C31091"/>
    <w:rsid w:val="00C31C0D"/>
    <w:rsid w:val="00C32280"/>
    <w:rsid w:val="00C33673"/>
    <w:rsid w:val="00C342E0"/>
    <w:rsid w:val="00C343BD"/>
    <w:rsid w:val="00C3561A"/>
    <w:rsid w:val="00C36730"/>
    <w:rsid w:val="00C36B4C"/>
    <w:rsid w:val="00C3716E"/>
    <w:rsid w:val="00C374D4"/>
    <w:rsid w:val="00C37A43"/>
    <w:rsid w:val="00C4141D"/>
    <w:rsid w:val="00C43DAF"/>
    <w:rsid w:val="00C44CBA"/>
    <w:rsid w:val="00C45AAA"/>
    <w:rsid w:val="00C46721"/>
    <w:rsid w:val="00C46EC8"/>
    <w:rsid w:val="00C470B7"/>
    <w:rsid w:val="00C47E65"/>
    <w:rsid w:val="00C50096"/>
    <w:rsid w:val="00C52FF7"/>
    <w:rsid w:val="00C536FD"/>
    <w:rsid w:val="00C53F11"/>
    <w:rsid w:val="00C546FF"/>
    <w:rsid w:val="00C54A1E"/>
    <w:rsid w:val="00C54B84"/>
    <w:rsid w:val="00C54C86"/>
    <w:rsid w:val="00C55185"/>
    <w:rsid w:val="00C56178"/>
    <w:rsid w:val="00C56318"/>
    <w:rsid w:val="00C56687"/>
    <w:rsid w:val="00C56F97"/>
    <w:rsid w:val="00C571FB"/>
    <w:rsid w:val="00C577A9"/>
    <w:rsid w:val="00C60D99"/>
    <w:rsid w:val="00C62779"/>
    <w:rsid w:val="00C674B4"/>
    <w:rsid w:val="00C6787B"/>
    <w:rsid w:val="00C678B1"/>
    <w:rsid w:val="00C717FC"/>
    <w:rsid w:val="00C72455"/>
    <w:rsid w:val="00C73546"/>
    <w:rsid w:val="00C74392"/>
    <w:rsid w:val="00C74422"/>
    <w:rsid w:val="00C7490A"/>
    <w:rsid w:val="00C74C93"/>
    <w:rsid w:val="00C75948"/>
    <w:rsid w:val="00C76D3F"/>
    <w:rsid w:val="00C77D0F"/>
    <w:rsid w:val="00C80B09"/>
    <w:rsid w:val="00C80BD3"/>
    <w:rsid w:val="00C8171E"/>
    <w:rsid w:val="00C83061"/>
    <w:rsid w:val="00C8337E"/>
    <w:rsid w:val="00C83CDE"/>
    <w:rsid w:val="00C85EEF"/>
    <w:rsid w:val="00C85FD8"/>
    <w:rsid w:val="00C8624C"/>
    <w:rsid w:val="00C8715C"/>
    <w:rsid w:val="00C928B6"/>
    <w:rsid w:val="00C92B2B"/>
    <w:rsid w:val="00C93F32"/>
    <w:rsid w:val="00C94428"/>
    <w:rsid w:val="00C94775"/>
    <w:rsid w:val="00C947A9"/>
    <w:rsid w:val="00C949D0"/>
    <w:rsid w:val="00C94D3F"/>
    <w:rsid w:val="00C95D73"/>
    <w:rsid w:val="00C96A92"/>
    <w:rsid w:val="00C972C8"/>
    <w:rsid w:val="00C97A89"/>
    <w:rsid w:val="00CA04B4"/>
    <w:rsid w:val="00CA0858"/>
    <w:rsid w:val="00CA2735"/>
    <w:rsid w:val="00CA41E6"/>
    <w:rsid w:val="00CA492E"/>
    <w:rsid w:val="00CA4C09"/>
    <w:rsid w:val="00CA4FA9"/>
    <w:rsid w:val="00CA5DBC"/>
    <w:rsid w:val="00CA61C6"/>
    <w:rsid w:val="00CA664F"/>
    <w:rsid w:val="00CA6716"/>
    <w:rsid w:val="00CA6DEF"/>
    <w:rsid w:val="00CA6FAC"/>
    <w:rsid w:val="00CA74CA"/>
    <w:rsid w:val="00CB0908"/>
    <w:rsid w:val="00CB09A1"/>
    <w:rsid w:val="00CB0E59"/>
    <w:rsid w:val="00CB146D"/>
    <w:rsid w:val="00CB1F57"/>
    <w:rsid w:val="00CB2567"/>
    <w:rsid w:val="00CB3138"/>
    <w:rsid w:val="00CB37BC"/>
    <w:rsid w:val="00CB3F35"/>
    <w:rsid w:val="00CB4D1B"/>
    <w:rsid w:val="00CB5505"/>
    <w:rsid w:val="00CB79A7"/>
    <w:rsid w:val="00CB7F8C"/>
    <w:rsid w:val="00CC1780"/>
    <w:rsid w:val="00CC31F4"/>
    <w:rsid w:val="00CC3536"/>
    <w:rsid w:val="00CC37C1"/>
    <w:rsid w:val="00CC4A07"/>
    <w:rsid w:val="00CC4E9E"/>
    <w:rsid w:val="00CC4F1D"/>
    <w:rsid w:val="00CC6E1E"/>
    <w:rsid w:val="00CC7338"/>
    <w:rsid w:val="00CC7BDF"/>
    <w:rsid w:val="00CD15A8"/>
    <w:rsid w:val="00CD1A5F"/>
    <w:rsid w:val="00CD2317"/>
    <w:rsid w:val="00CD2B0E"/>
    <w:rsid w:val="00CD332E"/>
    <w:rsid w:val="00CD3D6F"/>
    <w:rsid w:val="00CD413B"/>
    <w:rsid w:val="00CD4895"/>
    <w:rsid w:val="00CD671E"/>
    <w:rsid w:val="00CD683F"/>
    <w:rsid w:val="00CD6B90"/>
    <w:rsid w:val="00CD6DFA"/>
    <w:rsid w:val="00CD782D"/>
    <w:rsid w:val="00CD7ACC"/>
    <w:rsid w:val="00CE1760"/>
    <w:rsid w:val="00CE1E5E"/>
    <w:rsid w:val="00CE202C"/>
    <w:rsid w:val="00CE35C1"/>
    <w:rsid w:val="00CE5CEA"/>
    <w:rsid w:val="00CE6691"/>
    <w:rsid w:val="00CE688C"/>
    <w:rsid w:val="00CE6911"/>
    <w:rsid w:val="00CE71E5"/>
    <w:rsid w:val="00CF01F7"/>
    <w:rsid w:val="00CF0F26"/>
    <w:rsid w:val="00CF17C0"/>
    <w:rsid w:val="00CF1C62"/>
    <w:rsid w:val="00CF2659"/>
    <w:rsid w:val="00CF3E49"/>
    <w:rsid w:val="00CF540D"/>
    <w:rsid w:val="00CF559C"/>
    <w:rsid w:val="00CF661C"/>
    <w:rsid w:val="00CF6E6C"/>
    <w:rsid w:val="00CF7404"/>
    <w:rsid w:val="00CF77DC"/>
    <w:rsid w:val="00CF7D0F"/>
    <w:rsid w:val="00D0086F"/>
    <w:rsid w:val="00D01B22"/>
    <w:rsid w:val="00D02682"/>
    <w:rsid w:val="00D03794"/>
    <w:rsid w:val="00D03E15"/>
    <w:rsid w:val="00D04C48"/>
    <w:rsid w:val="00D05C60"/>
    <w:rsid w:val="00D069EF"/>
    <w:rsid w:val="00D06F63"/>
    <w:rsid w:val="00D07B4A"/>
    <w:rsid w:val="00D07DF0"/>
    <w:rsid w:val="00D13147"/>
    <w:rsid w:val="00D14046"/>
    <w:rsid w:val="00D14818"/>
    <w:rsid w:val="00D15111"/>
    <w:rsid w:val="00D15DD3"/>
    <w:rsid w:val="00D167ED"/>
    <w:rsid w:val="00D16D7B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53A8"/>
    <w:rsid w:val="00D37BBE"/>
    <w:rsid w:val="00D40E17"/>
    <w:rsid w:val="00D42242"/>
    <w:rsid w:val="00D422B5"/>
    <w:rsid w:val="00D42832"/>
    <w:rsid w:val="00D43662"/>
    <w:rsid w:val="00D45208"/>
    <w:rsid w:val="00D45568"/>
    <w:rsid w:val="00D51C6E"/>
    <w:rsid w:val="00D51D87"/>
    <w:rsid w:val="00D52DAF"/>
    <w:rsid w:val="00D53CE2"/>
    <w:rsid w:val="00D543F3"/>
    <w:rsid w:val="00D609E5"/>
    <w:rsid w:val="00D636FC"/>
    <w:rsid w:val="00D651BC"/>
    <w:rsid w:val="00D66971"/>
    <w:rsid w:val="00D6718C"/>
    <w:rsid w:val="00D67E83"/>
    <w:rsid w:val="00D704D6"/>
    <w:rsid w:val="00D708A9"/>
    <w:rsid w:val="00D708B7"/>
    <w:rsid w:val="00D71896"/>
    <w:rsid w:val="00D748E1"/>
    <w:rsid w:val="00D74DBB"/>
    <w:rsid w:val="00D755A7"/>
    <w:rsid w:val="00D75ECC"/>
    <w:rsid w:val="00D77B37"/>
    <w:rsid w:val="00D80173"/>
    <w:rsid w:val="00D80B32"/>
    <w:rsid w:val="00D81357"/>
    <w:rsid w:val="00D81BE4"/>
    <w:rsid w:val="00D81D4D"/>
    <w:rsid w:val="00D823A9"/>
    <w:rsid w:val="00D8304C"/>
    <w:rsid w:val="00D83E51"/>
    <w:rsid w:val="00D83FB6"/>
    <w:rsid w:val="00D84CF8"/>
    <w:rsid w:val="00D85D3C"/>
    <w:rsid w:val="00D864D9"/>
    <w:rsid w:val="00D90217"/>
    <w:rsid w:val="00D9048E"/>
    <w:rsid w:val="00D91F7D"/>
    <w:rsid w:val="00D92A5F"/>
    <w:rsid w:val="00D92ED6"/>
    <w:rsid w:val="00D931DB"/>
    <w:rsid w:val="00D95224"/>
    <w:rsid w:val="00D95989"/>
    <w:rsid w:val="00D96184"/>
    <w:rsid w:val="00D96C89"/>
    <w:rsid w:val="00D97320"/>
    <w:rsid w:val="00DA1D51"/>
    <w:rsid w:val="00DA26D7"/>
    <w:rsid w:val="00DA50AA"/>
    <w:rsid w:val="00DA52E8"/>
    <w:rsid w:val="00DA6836"/>
    <w:rsid w:val="00DA6C57"/>
    <w:rsid w:val="00DB4817"/>
    <w:rsid w:val="00DB4CF9"/>
    <w:rsid w:val="00DB5B78"/>
    <w:rsid w:val="00DB627A"/>
    <w:rsid w:val="00DB77F0"/>
    <w:rsid w:val="00DC2A0C"/>
    <w:rsid w:val="00DC3260"/>
    <w:rsid w:val="00DC54A4"/>
    <w:rsid w:val="00DC7DAF"/>
    <w:rsid w:val="00DD2C65"/>
    <w:rsid w:val="00DD3A76"/>
    <w:rsid w:val="00DD491D"/>
    <w:rsid w:val="00DD593A"/>
    <w:rsid w:val="00DD7BB6"/>
    <w:rsid w:val="00DD7E1C"/>
    <w:rsid w:val="00DE1923"/>
    <w:rsid w:val="00DE1FE9"/>
    <w:rsid w:val="00DE23F2"/>
    <w:rsid w:val="00DE3558"/>
    <w:rsid w:val="00DE38A1"/>
    <w:rsid w:val="00DE4521"/>
    <w:rsid w:val="00DE4B32"/>
    <w:rsid w:val="00DE4ED2"/>
    <w:rsid w:val="00DE5012"/>
    <w:rsid w:val="00DE591C"/>
    <w:rsid w:val="00DE65E0"/>
    <w:rsid w:val="00DE6612"/>
    <w:rsid w:val="00DE68E0"/>
    <w:rsid w:val="00DE6AEA"/>
    <w:rsid w:val="00DF20F8"/>
    <w:rsid w:val="00DF274C"/>
    <w:rsid w:val="00DF2811"/>
    <w:rsid w:val="00DF2AF5"/>
    <w:rsid w:val="00DF2C8F"/>
    <w:rsid w:val="00DF3C21"/>
    <w:rsid w:val="00DF42DB"/>
    <w:rsid w:val="00DF6487"/>
    <w:rsid w:val="00DF6901"/>
    <w:rsid w:val="00DF78AE"/>
    <w:rsid w:val="00E0010B"/>
    <w:rsid w:val="00E00E5A"/>
    <w:rsid w:val="00E0144B"/>
    <w:rsid w:val="00E01976"/>
    <w:rsid w:val="00E0203D"/>
    <w:rsid w:val="00E03AF1"/>
    <w:rsid w:val="00E03F63"/>
    <w:rsid w:val="00E04BEC"/>
    <w:rsid w:val="00E06001"/>
    <w:rsid w:val="00E07E4C"/>
    <w:rsid w:val="00E102BB"/>
    <w:rsid w:val="00E10349"/>
    <w:rsid w:val="00E10E15"/>
    <w:rsid w:val="00E116BB"/>
    <w:rsid w:val="00E118ED"/>
    <w:rsid w:val="00E11BAC"/>
    <w:rsid w:val="00E126E0"/>
    <w:rsid w:val="00E13114"/>
    <w:rsid w:val="00E1351B"/>
    <w:rsid w:val="00E13656"/>
    <w:rsid w:val="00E152A4"/>
    <w:rsid w:val="00E1642A"/>
    <w:rsid w:val="00E1655E"/>
    <w:rsid w:val="00E17D68"/>
    <w:rsid w:val="00E20BD3"/>
    <w:rsid w:val="00E21CDF"/>
    <w:rsid w:val="00E21DED"/>
    <w:rsid w:val="00E22F11"/>
    <w:rsid w:val="00E2554C"/>
    <w:rsid w:val="00E25D31"/>
    <w:rsid w:val="00E25FA6"/>
    <w:rsid w:val="00E26128"/>
    <w:rsid w:val="00E263F2"/>
    <w:rsid w:val="00E27E4C"/>
    <w:rsid w:val="00E301EE"/>
    <w:rsid w:val="00E30818"/>
    <w:rsid w:val="00E30BEB"/>
    <w:rsid w:val="00E30C69"/>
    <w:rsid w:val="00E31542"/>
    <w:rsid w:val="00E318B5"/>
    <w:rsid w:val="00E32472"/>
    <w:rsid w:val="00E32E47"/>
    <w:rsid w:val="00E33DBD"/>
    <w:rsid w:val="00E34AAD"/>
    <w:rsid w:val="00E34C91"/>
    <w:rsid w:val="00E356CB"/>
    <w:rsid w:val="00E364D8"/>
    <w:rsid w:val="00E366DA"/>
    <w:rsid w:val="00E36BE2"/>
    <w:rsid w:val="00E36CCB"/>
    <w:rsid w:val="00E3755B"/>
    <w:rsid w:val="00E37CC9"/>
    <w:rsid w:val="00E40A03"/>
    <w:rsid w:val="00E42270"/>
    <w:rsid w:val="00E43930"/>
    <w:rsid w:val="00E44E3C"/>
    <w:rsid w:val="00E45CD7"/>
    <w:rsid w:val="00E46DBD"/>
    <w:rsid w:val="00E4759B"/>
    <w:rsid w:val="00E47B17"/>
    <w:rsid w:val="00E5079A"/>
    <w:rsid w:val="00E50B8E"/>
    <w:rsid w:val="00E50FBC"/>
    <w:rsid w:val="00E5160A"/>
    <w:rsid w:val="00E517EF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263"/>
    <w:rsid w:val="00E63E75"/>
    <w:rsid w:val="00E63FD5"/>
    <w:rsid w:val="00E6515F"/>
    <w:rsid w:val="00E65AAE"/>
    <w:rsid w:val="00E65BF2"/>
    <w:rsid w:val="00E65CDD"/>
    <w:rsid w:val="00E6611C"/>
    <w:rsid w:val="00E669A9"/>
    <w:rsid w:val="00E672C7"/>
    <w:rsid w:val="00E674FB"/>
    <w:rsid w:val="00E676FF"/>
    <w:rsid w:val="00E70586"/>
    <w:rsid w:val="00E70A43"/>
    <w:rsid w:val="00E70AEE"/>
    <w:rsid w:val="00E73406"/>
    <w:rsid w:val="00E74B8C"/>
    <w:rsid w:val="00E74DD3"/>
    <w:rsid w:val="00E75B91"/>
    <w:rsid w:val="00E7625C"/>
    <w:rsid w:val="00E76BC5"/>
    <w:rsid w:val="00E770FC"/>
    <w:rsid w:val="00E7781F"/>
    <w:rsid w:val="00E77FF7"/>
    <w:rsid w:val="00E810FE"/>
    <w:rsid w:val="00E824FD"/>
    <w:rsid w:val="00E83879"/>
    <w:rsid w:val="00E851CE"/>
    <w:rsid w:val="00E8596C"/>
    <w:rsid w:val="00E8644B"/>
    <w:rsid w:val="00E864A9"/>
    <w:rsid w:val="00E865C0"/>
    <w:rsid w:val="00E86BFD"/>
    <w:rsid w:val="00E86CB1"/>
    <w:rsid w:val="00E87B01"/>
    <w:rsid w:val="00E87D67"/>
    <w:rsid w:val="00E900AF"/>
    <w:rsid w:val="00E9176C"/>
    <w:rsid w:val="00E91CC1"/>
    <w:rsid w:val="00E91F29"/>
    <w:rsid w:val="00E930DD"/>
    <w:rsid w:val="00E93FCD"/>
    <w:rsid w:val="00E94FC2"/>
    <w:rsid w:val="00E95C92"/>
    <w:rsid w:val="00E95E66"/>
    <w:rsid w:val="00E97CC8"/>
    <w:rsid w:val="00EA0984"/>
    <w:rsid w:val="00EA2B6D"/>
    <w:rsid w:val="00EA3C71"/>
    <w:rsid w:val="00EA5051"/>
    <w:rsid w:val="00EA50DE"/>
    <w:rsid w:val="00EA5A8D"/>
    <w:rsid w:val="00EA5DD7"/>
    <w:rsid w:val="00EA61A2"/>
    <w:rsid w:val="00EA689F"/>
    <w:rsid w:val="00EA6FC9"/>
    <w:rsid w:val="00EB0134"/>
    <w:rsid w:val="00EB050A"/>
    <w:rsid w:val="00EB116F"/>
    <w:rsid w:val="00EB14C9"/>
    <w:rsid w:val="00EB1B36"/>
    <w:rsid w:val="00EB1CAB"/>
    <w:rsid w:val="00EB1D29"/>
    <w:rsid w:val="00EB20D1"/>
    <w:rsid w:val="00EB22BF"/>
    <w:rsid w:val="00EB2C5F"/>
    <w:rsid w:val="00EB2CB1"/>
    <w:rsid w:val="00EB33E2"/>
    <w:rsid w:val="00EB403E"/>
    <w:rsid w:val="00EB5AFB"/>
    <w:rsid w:val="00EB7531"/>
    <w:rsid w:val="00EB7589"/>
    <w:rsid w:val="00EC0D2E"/>
    <w:rsid w:val="00EC1E91"/>
    <w:rsid w:val="00EC327F"/>
    <w:rsid w:val="00EC3A18"/>
    <w:rsid w:val="00EC3DF3"/>
    <w:rsid w:val="00EC520A"/>
    <w:rsid w:val="00EC5217"/>
    <w:rsid w:val="00EC55CB"/>
    <w:rsid w:val="00EC5C09"/>
    <w:rsid w:val="00EC7A99"/>
    <w:rsid w:val="00ED073D"/>
    <w:rsid w:val="00ED0CFD"/>
    <w:rsid w:val="00ED0ED7"/>
    <w:rsid w:val="00ED12E2"/>
    <w:rsid w:val="00ED1700"/>
    <w:rsid w:val="00ED1E4A"/>
    <w:rsid w:val="00ED1E58"/>
    <w:rsid w:val="00ED26C2"/>
    <w:rsid w:val="00ED28E0"/>
    <w:rsid w:val="00ED4EE5"/>
    <w:rsid w:val="00ED53B6"/>
    <w:rsid w:val="00ED6B08"/>
    <w:rsid w:val="00ED6E07"/>
    <w:rsid w:val="00ED7EDF"/>
    <w:rsid w:val="00EE0DDE"/>
    <w:rsid w:val="00EE1A11"/>
    <w:rsid w:val="00EE298B"/>
    <w:rsid w:val="00EE47A2"/>
    <w:rsid w:val="00EE4FA0"/>
    <w:rsid w:val="00EE622A"/>
    <w:rsid w:val="00EE647C"/>
    <w:rsid w:val="00EE6DB9"/>
    <w:rsid w:val="00EF202E"/>
    <w:rsid w:val="00EF21E1"/>
    <w:rsid w:val="00EF25DD"/>
    <w:rsid w:val="00EF3039"/>
    <w:rsid w:val="00EF3D97"/>
    <w:rsid w:val="00EF462D"/>
    <w:rsid w:val="00EF4908"/>
    <w:rsid w:val="00EF5B96"/>
    <w:rsid w:val="00EF67C4"/>
    <w:rsid w:val="00EF6C78"/>
    <w:rsid w:val="00EF7576"/>
    <w:rsid w:val="00F00618"/>
    <w:rsid w:val="00F00669"/>
    <w:rsid w:val="00F00C15"/>
    <w:rsid w:val="00F018B7"/>
    <w:rsid w:val="00F01ED5"/>
    <w:rsid w:val="00F06C54"/>
    <w:rsid w:val="00F1028E"/>
    <w:rsid w:val="00F11047"/>
    <w:rsid w:val="00F11576"/>
    <w:rsid w:val="00F115AA"/>
    <w:rsid w:val="00F117D2"/>
    <w:rsid w:val="00F12BB1"/>
    <w:rsid w:val="00F12BCE"/>
    <w:rsid w:val="00F137A4"/>
    <w:rsid w:val="00F13D85"/>
    <w:rsid w:val="00F15568"/>
    <w:rsid w:val="00F15F6A"/>
    <w:rsid w:val="00F16B41"/>
    <w:rsid w:val="00F16DA2"/>
    <w:rsid w:val="00F171ED"/>
    <w:rsid w:val="00F17700"/>
    <w:rsid w:val="00F20788"/>
    <w:rsid w:val="00F214DB"/>
    <w:rsid w:val="00F22502"/>
    <w:rsid w:val="00F230A4"/>
    <w:rsid w:val="00F23466"/>
    <w:rsid w:val="00F24261"/>
    <w:rsid w:val="00F2429D"/>
    <w:rsid w:val="00F24571"/>
    <w:rsid w:val="00F245C8"/>
    <w:rsid w:val="00F24746"/>
    <w:rsid w:val="00F275D7"/>
    <w:rsid w:val="00F276D0"/>
    <w:rsid w:val="00F27B66"/>
    <w:rsid w:val="00F306A2"/>
    <w:rsid w:val="00F31F11"/>
    <w:rsid w:val="00F320EE"/>
    <w:rsid w:val="00F32CFE"/>
    <w:rsid w:val="00F32EF9"/>
    <w:rsid w:val="00F33B5B"/>
    <w:rsid w:val="00F34ACA"/>
    <w:rsid w:val="00F36DEA"/>
    <w:rsid w:val="00F400FA"/>
    <w:rsid w:val="00F4050E"/>
    <w:rsid w:val="00F4071A"/>
    <w:rsid w:val="00F416C6"/>
    <w:rsid w:val="00F4217C"/>
    <w:rsid w:val="00F4406F"/>
    <w:rsid w:val="00F4561D"/>
    <w:rsid w:val="00F46D61"/>
    <w:rsid w:val="00F47111"/>
    <w:rsid w:val="00F47905"/>
    <w:rsid w:val="00F5033A"/>
    <w:rsid w:val="00F5105D"/>
    <w:rsid w:val="00F520A4"/>
    <w:rsid w:val="00F557E9"/>
    <w:rsid w:val="00F57772"/>
    <w:rsid w:val="00F57BF9"/>
    <w:rsid w:val="00F57E33"/>
    <w:rsid w:val="00F60B0A"/>
    <w:rsid w:val="00F61E47"/>
    <w:rsid w:val="00F61E7A"/>
    <w:rsid w:val="00F6436F"/>
    <w:rsid w:val="00F6596E"/>
    <w:rsid w:val="00F6679F"/>
    <w:rsid w:val="00F66D15"/>
    <w:rsid w:val="00F67151"/>
    <w:rsid w:val="00F67152"/>
    <w:rsid w:val="00F6780E"/>
    <w:rsid w:val="00F67CAA"/>
    <w:rsid w:val="00F71E30"/>
    <w:rsid w:val="00F71EC0"/>
    <w:rsid w:val="00F72F47"/>
    <w:rsid w:val="00F75472"/>
    <w:rsid w:val="00F81CAF"/>
    <w:rsid w:val="00F82346"/>
    <w:rsid w:val="00F82796"/>
    <w:rsid w:val="00F82BB3"/>
    <w:rsid w:val="00F83A61"/>
    <w:rsid w:val="00F86243"/>
    <w:rsid w:val="00F86839"/>
    <w:rsid w:val="00F8782A"/>
    <w:rsid w:val="00F87942"/>
    <w:rsid w:val="00F87BD2"/>
    <w:rsid w:val="00F90904"/>
    <w:rsid w:val="00F90CCE"/>
    <w:rsid w:val="00F9162E"/>
    <w:rsid w:val="00F92332"/>
    <w:rsid w:val="00F9236A"/>
    <w:rsid w:val="00F929D1"/>
    <w:rsid w:val="00F9424D"/>
    <w:rsid w:val="00F948AD"/>
    <w:rsid w:val="00F9748F"/>
    <w:rsid w:val="00F979A8"/>
    <w:rsid w:val="00F97E31"/>
    <w:rsid w:val="00FA028D"/>
    <w:rsid w:val="00FA078D"/>
    <w:rsid w:val="00FA1442"/>
    <w:rsid w:val="00FA1696"/>
    <w:rsid w:val="00FA1D06"/>
    <w:rsid w:val="00FA3783"/>
    <w:rsid w:val="00FA4086"/>
    <w:rsid w:val="00FA68F1"/>
    <w:rsid w:val="00FA6B98"/>
    <w:rsid w:val="00FA6CD2"/>
    <w:rsid w:val="00FB028A"/>
    <w:rsid w:val="00FB18B5"/>
    <w:rsid w:val="00FB1C7E"/>
    <w:rsid w:val="00FB31E1"/>
    <w:rsid w:val="00FB3B24"/>
    <w:rsid w:val="00FB3E48"/>
    <w:rsid w:val="00FB41F7"/>
    <w:rsid w:val="00FB4811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0D5E"/>
    <w:rsid w:val="00FD1399"/>
    <w:rsid w:val="00FD146A"/>
    <w:rsid w:val="00FD1594"/>
    <w:rsid w:val="00FD1B57"/>
    <w:rsid w:val="00FD1DDA"/>
    <w:rsid w:val="00FD2F25"/>
    <w:rsid w:val="00FD45BD"/>
    <w:rsid w:val="00FD47E8"/>
    <w:rsid w:val="00FD4B4C"/>
    <w:rsid w:val="00FD5352"/>
    <w:rsid w:val="00FD5432"/>
    <w:rsid w:val="00FD63E4"/>
    <w:rsid w:val="00FD710E"/>
    <w:rsid w:val="00FE00CB"/>
    <w:rsid w:val="00FE09E6"/>
    <w:rsid w:val="00FE24BA"/>
    <w:rsid w:val="00FE277E"/>
    <w:rsid w:val="00FE2F6C"/>
    <w:rsid w:val="00FE38BE"/>
    <w:rsid w:val="00FE45A3"/>
    <w:rsid w:val="00FE5453"/>
    <w:rsid w:val="00FE5B99"/>
    <w:rsid w:val="00FE60DD"/>
    <w:rsid w:val="00FE63F6"/>
    <w:rsid w:val="00FE7C89"/>
    <w:rsid w:val="00FF4296"/>
    <w:rsid w:val="00FF4DD0"/>
    <w:rsid w:val="00FF5229"/>
    <w:rsid w:val="00FF59C8"/>
    <w:rsid w:val="00FF670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B05CF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85"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3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B07C4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073CA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C44CB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2B043D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16576E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6D0F95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F7547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2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42EDF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536B4D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99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rr.salute.gov.it/" TargetMode="External"/><Relationship Id="rId13" Type="http://schemas.openxmlformats.org/officeDocument/2006/relationships/hyperlink" Target="mailto:ufficio.stampa@gimbe.org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onitopen.fse.salute.gov.it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rteconti.it/Download?id=46d0b9bd-5d87-4fa4-8b85-f73d4a05a6a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www.agenas.gov.it/images/2025/DM_77/Report_nazionale_II_semestre_2024.pdf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agenas.gov.it/images/2025/DM_77/Report_nazionale_II_semestre_2024.pdf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308B-7806-4AA2-AFD8-E2689198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11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81</cp:revision>
  <cp:lastPrinted>2024-04-29T14:18:00Z</cp:lastPrinted>
  <dcterms:created xsi:type="dcterms:W3CDTF">2025-04-24T11:04:00Z</dcterms:created>
  <dcterms:modified xsi:type="dcterms:W3CDTF">2025-05-05T12:55:00Z</dcterms:modified>
</cp:coreProperties>
</file>